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B17DC">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2026年铜陵学院</w:t>
      </w:r>
      <w:r>
        <w:rPr>
          <w:rFonts w:hint="eastAsia" w:ascii="宋体" w:hAnsi="宋体" w:eastAsia="宋体" w:cs="宋体"/>
          <w:b/>
          <w:bCs w:val="0"/>
          <w:sz w:val="44"/>
          <w:szCs w:val="44"/>
        </w:rPr>
        <w:t>育秀校区</w:t>
      </w:r>
      <w:r>
        <w:rPr>
          <w:rFonts w:hint="eastAsia" w:ascii="宋体" w:hAnsi="宋体" w:eastAsia="宋体" w:cs="宋体"/>
          <w:b/>
          <w:bCs w:val="0"/>
          <w:sz w:val="44"/>
          <w:szCs w:val="44"/>
          <w:lang w:val="en-US" w:eastAsia="zh-CN"/>
        </w:rPr>
        <w:t>消防器材采购与安装项目市场比价</w:t>
      </w:r>
    </w:p>
    <w:p w14:paraId="1AFC7284">
      <w:pPr>
        <w:widowControl/>
        <w:shd w:val="clear" w:color="auto" w:fill="FFFFFF"/>
        <w:snapToGrid w:val="0"/>
        <w:spacing w:line="480" w:lineRule="auto"/>
        <w:jc w:val="center"/>
        <w:rPr>
          <w:rFonts w:hint="eastAsia" w:ascii="宋体" w:hAnsi="宋体"/>
          <w:b/>
          <w:kern w:val="36"/>
          <w:sz w:val="44"/>
          <w:szCs w:val="44"/>
        </w:rPr>
      </w:pPr>
    </w:p>
    <w:p w14:paraId="3E0F54BC">
      <w:pPr>
        <w:widowControl/>
        <w:shd w:val="clear" w:color="auto" w:fill="FFFFFF"/>
        <w:snapToGrid w:val="0"/>
        <w:spacing w:line="480" w:lineRule="auto"/>
        <w:jc w:val="center"/>
        <w:rPr>
          <w:rFonts w:hint="eastAsia" w:ascii="宋体" w:hAnsi="宋体"/>
          <w:b/>
          <w:kern w:val="36"/>
          <w:sz w:val="44"/>
          <w:szCs w:val="44"/>
        </w:rPr>
      </w:pPr>
    </w:p>
    <w:p w14:paraId="67D672D3">
      <w:pPr>
        <w:widowControl/>
        <w:shd w:val="clear" w:color="auto" w:fill="FFFFFF"/>
        <w:snapToGrid w:val="0"/>
        <w:spacing w:line="480" w:lineRule="auto"/>
        <w:jc w:val="center"/>
        <w:rPr>
          <w:rFonts w:ascii="宋体" w:hAnsi="宋体"/>
          <w:b/>
          <w:kern w:val="36"/>
          <w:sz w:val="44"/>
          <w:szCs w:val="44"/>
        </w:rPr>
      </w:pPr>
      <w:r>
        <w:rPr>
          <w:rFonts w:hint="eastAsia" w:ascii="宋体" w:hAnsi="宋体"/>
          <w:b/>
          <w:kern w:val="36"/>
          <w:sz w:val="44"/>
          <w:szCs w:val="44"/>
        </w:rPr>
        <w:t>文</w:t>
      </w:r>
    </w:p>
    <w:p w14:paraId="054C09DF">
      <w:pPr>
        <w:widowControl/>
        <w:shd w:val="clear" w:color="auto" w:fill="FFFFFF"/>
        <w:snapToGrid w:val="0"/>
        <w:spacing w:line="480" w:lineRule="auto"/>
        <w:jc w:val="center"/>
        <w:rPr>
          <w:rFonts w:ascii="宋体" w:hAnsi="宋体"/>
          <w:b/>
          <w:kern w:val="36"/>
          <w:sz w:val="44"/>
          <w:szCs w:val="44"/>
        </w:rPr>
      </w:pPr>
      <w:r>
        <w:rPr>
          <w:rFonts w:hint="eastAsia" w:ascii="宋体" w:hAnsi="宋体"/>
          <w:b/>
          <w:kern w:val="36"/>
          <w:sz w:val="44"/>
          <w:szCs w:val="44"/>
        </w:rPr>
        <w:t>件</w:t>
      </w:r>
    </w:p>
    <w:p w14:paraId="53CB794A">
      <w:pPr>
        <w:widowControl/>
        <w:shd w:val="clear" w:color="auto" w:fill="FFFFFF"/>
        <w:spacing w:before="100" w:beforeAutospacing="1" w:after="100" w:afterAutospacing="1" w:line="500" w:lineRule="exact"/>
        <w:jc w:val="center"/>
        <w:outlineLvl w:val="1"/>
        <w:rPr>
          <w:rFonts w:ascii="宋体" w:hAnsi="宋体"/>
          <w:b/>
          <w:color w:val="000000"/>
          <w:kern w:val="36"/>
          <w:sz w:val="72"/>
          <w:szCs w:val="84"/>
        </w:rPr>
      </w:pPr>
    </w:p>
    <w:p w14:paraId="72899E98">
      <w:pPr>
        <w:widowControl/>
        <w:shd w:val="clear" w:color="auto" w:fill="FFFFFF"/>
        <w:spacing w:before="100" w:beforeAutospacing="1" w:after="100" w:afterAutospacing="1" w:line="500" w:lineRule="exact"/>
        <w:jc w:val="center"/>
        <w:outlineLvl w:val="1"/>
        <w:rPr>
          <w:rFonts w:ascii="宋体" w:hAnsi="宋体"/>
          <w:b/>
          <w:color w:val="000000"/>
          <w:kern w:val="36"/>
          <w:sz w:val="72"/>
          <w:szCs w:val="84"/>
        </w:rPr>
      </w:pPr>
    </w:p>
    <w:p w14:paraId="517A47F1">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0AD47F81">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0DBAD89E">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24477693">
      <w:pPr>
        <w:widowControl/>
        <w:shd w:val="clear" w:color="auto" w:fill="FFFFFF"/>
        <w:spacing w:before="100" w:beforeAutospacing="1" w:after="100" w:afterAutospacing="1" w:line="500" w:lineRule="exact"/>
        <w:jc w:val="center"/>
        <w:outlineLvl w:val="1"/>
        <w:rPr>
          <w:rFonts w:ascii="宋体" w:hAnsi="宋体"/>
          <w:b/>
          <w:bCs/>
          <w:color w:val="000000"/>
          <w:kern w:val="0"/>
          <w:sz w:val="28"/>
          <w:szCs w:val="28"/>
        </w:rPr>
      </w:pPr>
    </w:p>
    <w:p w14:paraId="3C223759">
      <w:pPr>
        <w:widowControl/>
        <w:shd w:val="clear" w:color="auto" w:fill="FFFFFF"/>
        <w:spacing w:before="100" w:beforeAutospacing="1" w:after="100" w:afterAutospacing="1" w:line="500" w:lineRule="exact"/>
        <w:jc w:val="center"/>
        <w:outlineLvl w:val="1"/>
        <w:rPr>
          <w:rFonts w:ascii="宋体" w:hAnsi="宋体"/>
          <w:color w:val="000000"/>
          <w:kern w:val="0"/>
          <w:sz w:val="28"/>
          <w:szCs w:val="28"/>
        </w:rPr>
      </w:pPr>
      <w:r>
        <w:rPr>
          <w:rFonts w:hint="eastAsia" w:ascii="宋体" w:hAnsi="宋体"/>
          <w:b/>
          <w:bCs/>
          <w:color w:val="000000"/>
          <w:kern w:val="0"/>
          <w:sz w:val="28"/>
          <w:szCs w:val="28"/>
        </w:rPr>
        <w:t>项目编号：tlxyaq</w:t>
      </w:r>
      <w:r>
        <w:rPr>
          <w:rFonts w:hint="eastAsia" w:ascii="宋体" w:hAnsi="宋体"/>
          <w:b/>
          <w:bCs/>
          <w:color w:val="000000"/>
          <w:kern w:val="0"/>
          <w:sz w:val="28"/>
          <w:szCs w:val="28"/>
          <w:lang w:eastAsia="zh-CN"/>
        </w:rPr>
        <w:t>〔2026〕3号</w:t>
      </w:r>
    </w:p>
    <w:p w14:paraId="6A4D38D2">
      <w:pPr>
        <w:widowControl/>
        <w:shd w:val="clear" w:color="auto" w:fill="FFFFFF"/>
        <w:snapToGrid w:val="0"/>
        <w:spacing w:line="500" w:lineRule="exact"/>
        <w:ind w:firstLine="2259" w:firstLineChars="750"/>
        <w:rPr>
          <w:rFonts w:ascii="宋体" w:hAnsi="宋体"/>
          <w:b/>
          <w:color w:val="000000"/>
          <w:kern w:val="36"/>
          <w:sz w:val="30"/>
          <w:szCs w:val="30"/>
        </w:rPr>
      </w:pPr>
      <w:r>
        <w:rPr>
          <w:rFonts w:hint="eastAsia" w:ascii="宋体" w:hAnsi="宋体"/>
          <w:b/>
          <w:color w:val="000000"/>
          <w:kern w:val="36"/>
          <w:sz w:val="30"/>
          <w:szCs w:val="30"/>
        </w:rPr>
        <w:t>采购人：铜陵学院安全管理处</w:t>
      </w:r>
    </w:p>
    <w:p w14:paraId="299BA9AF">
      <w:pPr>
        <w:widowControl/>
        <w:shd w:val="clear" w:color="auto" w:fill="FFFFFF"/>
        <w:snapToGrid w:val="0"/>
        <w:spacing w:line="500" w:lineRule="exact"/>
        <w:jc w:val="center"/>
        <w:rPr>
          <w:rFonts w:ascii="宋体" w:hAnsi="宋体"/>
          <w:b/>
          <w:color w:val="000000"/>
          <w:kern w:val="36"/>
          <w:sz w:val="30"/>
          <w:szCs w:val="30"/>
        </w:rPr>
      </w:pPr>
      <w:r>
        <w:rPr>
          <w:rFonts w:hint="eastAsia" w:ascii="宋体" w:hAnsi="宋体"/>
          <w:b/>
          <w:color w:val="000000"/>
          <w:kern w:val="36"/>
          <w:sz w:val="30"/>
          <w:szCs w:val="30"/>
        </w:rPr>
        <w:t>202</w:t>
      </w:r>
      <w:r>
        <w:rPr>
          <w:rFonts w:hint="eastAsia" w:ascii="宋体" w:hAnsi="宋体"/>
          <w:b/>
          <w:color w:val="000000"/>
          <w:kern w:val="36"/>
          <w:sz w:val="30"/>
          <w:szCs w:val="30"/>
          <w:lang w:val="en-US" w:eastAsia="zh-CN"/>
        </w:rPr>
        <w:t>6</w:t>
      </w:r>
      <w:r>
        <w:rPr>
          <w:rFonts w:hint="eastAsia" w:ascii="宋体" w:hAnsi="宋体"/>
          <w:b/>
          <w:color w:val="000000"/>
          <w:kern w:val="36"/>
          <w:sz w:val="30"/>
          <w:szCs w:val="30"/>
        </w:rPr>
        <w:t>年</w:t>
      </w:r>
      <w:r>
        <w:rPr>
          <w:rFonts w:hint="eastAsia" w:ascii="宋体" w:hAnsi="宋体"/>
          <w:b/>
          <w:color w:val="000000"/>
          <w:kern w:val="36"/>
          <w:sz w:val="30"/>
          <w:szCs w:val="30"/>
          <w:lang w:val="en-US" w:eastAsia="zh-CN"/>
        </w:rPr>
        <w:t>9</w:t>
      </w:r>
      <w:r>
        <w:rPr>
          <w:rFonts w:hint="eastAsia" w:ascii="宋体" w:hAnsi="宋体"/>
          <w:b/>
          <w:color w:val="000000"/>
          <w:kern w:val="36"/>
          <w:sz w:val="30"/>
          <w:szCs w:val="30"/>
        </w:rPr>
        <w:t>月</w:t>
      </w:r>
    </w:p>
    <w:p w14:paraId="27CEB885">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sectPr>
          <w:pgSz w:w="11906" w:h="16838"/>
          <w:pgMar w:top="1440" w:right="1800" w:bottom="1440" w:left="1800" w:header="851" w:footer="992" w:gutter="0"/>
          <w:cols w:space="425" w:num="1"/>
          <w:docGrid w:type="lines" w:linePitch="312" w:charSpace="0"/>
        </w:sectPr>
      </w:pPr>
    </w:p>
    <w:p w14:paraId="237AA67A">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default" w:ascii="黑体" w:hAnsi="黑体" w:eastAsia="黑体" w:cs="黑体"/>
          <w:b/>
          <w:bCs w:val="0"/>
          <w:sz w:val="44"/>
          <w:szCs w:val="44"/>
          <w:lang w:val="en-US"/>
        </w:rPr>
      </w:pPr>
      <w:r>
        <w:rPr>
          <w:rFonts w:hint="eastAsia" w:ascii="黑体" w:hAnsi="黑体" w:eastAsia="黑体" w:cs="黑体"/>
          <w:b/>
          <w:bCs w:val="0"/>
          <w:sz w:val="44"/>
          <w:szCs w:val="44"/>
          <w:lang w:val="en-US" w:eastAsia="zh-CN"/>
        </w:rPr>
        <w:t>2026年铜陵学院</w:t>
      </w:r>
      <w:r>
        <w:rPr>
          <w:rFonts w:hint="eastAsia" w:ascii="黑体" w:hAnsi="黑体" w:eastAsia="黑体" w:cs="黑体"/>
          <w:b/>
          <w:bCs w:val="0"/>
          <w:sz w:val="44"/>
          <w:szCs w:val="44"/>
        </w:rPr>
        <w:t>育秀校区</w:t>
      </w:r>
      <w:r>
        <w:rPr>
          <w:rFonts w:hint="eastAsia" w:ascii="黑体" w:hAnsi="黑体" w:eastAsia="黑体" w:cs="黑体"/>
          <w:b/>
          <w:bCs w:val="0"/>
          <w:sz w:val="44"/>
          <w:szCs w:val="44"/>
          <w:lang w:val="en-US" w:eastAsia="zh-CN"/>
        </w:rPr>
        <w:t>消防器材采购与安装项目比价公告</w:t>
      </w:r>
    </w:p>
    <w:p w14:paraId="68E1FE88">
      <w:pPr>
        <w:keepNext w:val="0"/>
        <w:keepLines w:val="0"/>
        <w:widowControl/>
        <w:suppressLineNumbers w:val="0"/>
        <w:ind w:firstLine="480" w:firstLineChars="200"/>
        <w:jc w:val="left"/>
      </w:pPr>
      <w:r>
        <w:rPr>
          <w:rFonts w:hint="eastAsia" w:ascii="宋体" w:hAnsi="宋体" w:eastAsia="宋体" w:cs="宋体"/>
          <w:kern w:val="0"/>
          <w:sz w:val="24"/>
          <w:szCs w:val="24"/>
          <w:lang w:val="en-US" w:eastAsia="zh-CN" w:bidi="ar"/>
        </w:rPr>
        <w:t>铜陵学院育秀校</w:t>
      </w:r>
      <w:r>
        <w:rPr>
          <w:rFonts w:ascii="宋体" w:hAnsi="宋体" w:eastAsia="宋体" w:cs="宋体"/>
          <w:kern w:val="0"/>
          <w:sz w:val="24"/>
          <w:szCs w:val="24"/>
          <w:lang w:val="en-US" w:eastAsia="zh-CN" w:bidi="ar"/>
        </w:rPr>
        <w:t>区已完成校内区域翻新改造工作，改造后校园功能布局、场地使用场景均发生调整。结合《建筑灭火器配置设计规范》（GB50140-2005）及校园消防安全管理相关规定，校区各类教学、公共及功能用房需按标准足额配置灭火器。经全面排查，校区原有灭火器因改造施工出现</w:t>
      </w:r>
      <w:r>
        <w:rPr>
          <w:rFonts w:hint="eastAsia" w:ascii="宋体" w:hAnsi="宋体" w:eastAsia="宋体" w:cs="宋体"/>
          <w:kern w:val="0"/>
          <w:sz w:val="24"/>
          <w:szCs w:val="24"/>
          <w:lang w:val="en-US" w:eastAsia="zh-CN" w:bidi="ar"/>
        </w:rPr>
        <w:t>损坏、丢失</w:t>
      </w:r>
      <w:r>
        <w:rPr>
          <w:rFonts w:ascii="宋体" w:hAnsi="宋体" w:eastAsia="宋体" w:cs="宋体"/>
          <w:kern w:val="0"/>
          <w:sz w:val="24"/>
          <w:szCs w:val="24"/>
          <w:lang w:val="en-US" w:eastAsia="zh-CN" w:bidi="ar"/>
        </w:rPr>
        <w:t>、数量不足等问题，新增改造区域无配套灭火器材，整体灭火器缺口较大，现有配置无法满足消防安全规范及日常安全管理要求，存在火灾安全隐患。为彻底消除消防隐患，全面落实消防安全标准化配置要求，补齐消防器材短板，提升校区初期火灾应急处置能力，保障在校师生人身安全及校园公共财产安全，适配校区改造后的消防安全保障需求，现采购足额合规的灭火器</w:t>
      </w:r>
      <w:r>
        <w:rPr>
          <w:rFonts w:hint="eastAsia" w:ascii="宋体" w:hAnsi="宋体" w:eastAsia="宋体" w:cs="宋体"/>
          <w:kern w:val="0"/>
          <w:sz w:val="24"/>
          <w:szCs w:val="24"/>
          <w:lang w:val="en-US" w:eastAsia="zh-CN" w:bidi="ar"/>
        </w:rPr>
        <w:t>、水带等</w:t>
      </w:r>
      <w:r>
        <w:rPr>
          <w:rFonts w:ascii="宋体" w:hAnsi="宋体" w:eastAsia="宋体" w:cs="宋体"/>
          <w:kern w:val="0"/>
          <w:sz w:val="24"/>
          <w:szCs w:val="24"/>
          <w:lang w:val="en-US" w:eastAsia="zh-CN" w:bidi="ar"/>
        </w:rPr>
        <w:t>，实现全校区域消防器材标准化、全覆盖配置，筑牢校园消防安全防线。</w:t>
      </w:r>
    </w:p>
    <w:p w14:paraId="7A74BD51">
      <w:pPr>
        <w:spacing w:line="500" w:lineRule="exact"/>
        <w:ind w:firstLine="482" w:firstLineChars="200"/>
        <w:rPr>
          <w:rFonts w:ascii="宋体" w:hAnsi="宋体"/>
          <w:b/>
          <w:sz w:val="24"/>
          <w:szCs w:val="24"/>
        </w:rPr>
      </w:pPr>
      <w:r>
        <w:rPr>
          <w:rFonts w:hint="eastAsia" w:ascii="宋体" w:hAnsi="宋体"/>
          <w:b/>
          <w:sz w:val="24"/>
          <w:szCs w:val="24"/>
        </w:rPr>
        <w:t>一、采购项目内容概况及预算：</w:t>
      </w:r>
    </w:p>
    <w:p w14:paraId="3BFFA471">
      <w:pPr>
        <w:spacing w:line="500" w:lineRule="exact"/>
        <w:ind w:firstLine="480" w:firstLineChars="200"/>
        <w:rPr>
          <w:rFonts w:hint="default" w:ascii="宋体" w:hAnsi="宋体"/>
          <w:bCs/>
          <w:kern w:val="0"/>
          <w:sz w:val="24"/>
          <w:lang w:val="en-US" w:eastAsia="zh-CN"/>
        </w:rPr>
      </w:pPr>
      <w:r>
        <w:rPr>
          <w:rFonts w:hint="eastAsia" w:ascii="宋体" w:hAnsi="宋体"/>
          <w:bCs/>
          <w:kern w:val="0"/>
          <w:sz w:val="24"/>
        </w:rPr>
        <w:t>1.采购内容：育秀校区</w:t>
      </w:r>
      <w:r>
        <w:rPr>
          <w:rFonts w:hint="eastAsia" w:ascii="宋体" w:hAnsi="宋体"/>
          <w:bCs/>
          <w:kern w:val="0"/>
          <w:sz w:val="24"/>
          <w:lang w:val="en-US" w:eastAsia="zh-CN"/>
        </w:rPr>
        <w:t>消防器材采购与安装项目。</w:t>
      </w:r>
    </w:p>
    <w:p w14:paraId="717042E2">
      <w:pPr>
        <w:spacing w:line="500" w:lineRule="exact"/>
        <w:ind w:firstLine="480" w:firstLineChars="200"/>
        <w:rPr>
          <w:rFonts w:ascii="宋体" w:hAnsi="宋体"/>
          <w:sz w:val="24"/>
          <w:szCs w:val="24"/>
        </w:rPr>
      </w:pPr>
      <w:r>
        <w:rPr>
          <w:rFonts w:hint="eastAsia" w:ascii="宋体" w:hAnsi="宋体"/>
          <w:sz w:val="24"/>
          <w:szCs w:val="24"/>
        </w:rPr>
        <w:t>2.预算控制价：</w:t>
      </w:r>
      <w:r>
        <w:rPr>
          <w:rFonts w:hint="eastAsia" w:ascii="Arial" w:hAnsi="Arial" w:eastAsia="等线" w:cs="Arial"/>
          <w:sz w:val="22"/>
          <w:lang w:val="en-US" w:eastAsia="zh-CN"/>
        </w:rPr>
        <w:t>1.9万</w:t>
      </w:r>
      <w:r>
        <w:rPr>
          <w:rFonts w:hint="eastAsia" w:ascii="宋体" w:hAnsi="宋体"/>
          <w:sz w:val="24"/>
          <w:szCs w:val="24"/>
        </w:rPr>
        <w:t>元。</w:t>
      </w:r>
    </w:p>
    <w:p w14:paraId="5D2A6CE5">
      <w:pPr>
        <w:spacing w:line="500" w:lineRule="exact"/>
        <w:ind w:firstLine="480" w:firstLineChars="200"/>
        <w:rPr>
          <w:rFonts w:hint="eastAsia" w:ascii="宋体" w:hAnsi="宋体"/>
          <w:bCs/>
          <w:kern w:val="0"/>
          <w:sz w:val="24"/>
        </w:rPr>
      </w:pPr>
      <w:r>
        <w:rPr>
          <w:rFonts w:hint="eastAsia" w:ascii="宋体" w:hAnsi="宋体"/>
          <w:sz w:val="24"/>
          <w:szCs w:val="24"/>
        </w:rPr>
        <w:t>3.</w:t>
      </w:r>
      <w:r>
        <w:rPr>
          <w:rFonts w:hint="eastAsia" w:ascii="宋体" w:hAnsi="宋体"/>
          <w:bCs/>
          <w:kern w:val="0"/>
          <w:sz w:val="24"/>
        </w:rPr>
        <w:t>供货期：自</w:t>
      </w:r>
      <w:r>
        <w:rPr>
          <w:rFonts w:hint="eastAsia" w:ascii="宋体" w:hAnsi="宋体"/>
          <w:bCs/>
          <w:kern w:val="0"/>
          <w:sz w:val="24"/>
          <w:lang w:val="en-US" w:eastAsia="zh-CN"/>
        </w:rPr>
        <w:t>中标</w:t>
      </w:r>
      <w:r>
        <w:rPr>
          <w:rFonts w:hint="eastAsia" w:ascii="宋体" w:hAnsi="宋体"/>
          <w:bCs/>
          <w:kern w:val="0"/>
          <w:sz w:val="24"/>
        </w:rPr>
        <w:t>之日起</w:t>
      </w:r>
      <w:r>
        <w:rPr>
          <w:rFonts w:hint="eastAsia" w:ascii="宋体" w:hAnsi="宋体"/>
          <w:bCs/>
          <w:kern w:val="0"/>
          <w:sz w:val="24"/>
          <w:lang w:val="en-US" w:eastAsia="zh-CN"/>
        </w:rPr>
        <w:t>10</w:t>
      </w:r>
      <w:r>
        <w:rPr>
          <w:rFonts w:hint="eastAsia" w:ascii="宋体" w:hAnsi="宋体"/>
          <w:bCs/>
          <w:kern w:val="0"/>
          <w:sz w:val="24"/>
        </w:rPr>
        <w:t>个日历日安装到位。</w:t>
      </w:r>
    </w:p>
    <w:p w14:paraId="10C52B89">
      <w:pPr>
        <w:spacing w:line="500" w:lineRule="exact"/>
        <w:ind w:firstLine="482" w:firstLineChars="200"/>
        <w:rPr>
          <w:rFonts w:hint="eastAsia" w:ascii="宋体" w:hAnsi="宋体"/>
          <w:sz w:val="24"/>
          <w:szCs w:val="24"/>
        </w:rPr>
      </w:pPr>
      <w:r>
        <w:rPr>
          <w:rFonts w:hint="eastAsia" w:ascii="宋体" w:hAnsi="宋体"/>
          <w:b/>
          <w:sz w:val="24"/>
          <w:szCs w:val="24"/>
          <w:lang w:val="en-US" w:eastAsia="zh-CN"/>
        </w:rPr>
        <w:t>二</w:t>
      </w:r>
      <w:r>
        <w:rPr>
          <w:rFonts w:hint="eastAsia" w:ascii="宋体" w:hAnsi="宋体"/>
          <w:b/>
          <w:sz w:val="24"/>
          <w:szCs w:val="24"/>
        </w:rPr>
        <w:t>、采购方式：</w:t>
      </w:r>
      <w:r>
        <w:rPr>
          <w:rFonts w:hint="eastAsia" w:ascii="宋体" w:hAnsi="宋体"/>
          <w:sz w:val="24"/>
          <w:szCs w:val="24"/>
        </w:rPr>
        <w:t>市场比价</w:t>
      </w:r>
    </w:p>
    <w:p w14:paraId="152071A4">
      <w:pPr>
        <w:spacing w:line="500" w:lineRule="exact"/>
        <w:ind w:firstLine="482" w:firstLineChars="200"/>
        <w:rPr>
          <w:rFonts w:ascii="宋体" w:hAnsi="宋体"/>
          <w:b/>
          <w:sz w:val="24"/>
          <w:szCs w:val="24"/>
        </w:rPr>
      </w:pPr>
      <w:r>
        <w:rPr>
          <w:rFonts w:hint="eastAsia" w:ascii="宋体" w:hAnsi="宋体"/>
          <w:b/>
          <w:sz w:val="24"/>
          <w:szCs w:val="24"/>
          <w:lang w:val="en-US" w:eastAsia="zh-CN"/>
        </w:rPr>
        <w:t>三</w:t>
      </w:r>
      <w:r>
        <w:rPr>
          <w:rFonts w:hint="eastAsia" w:ascii="宋体" w:hAnsi="宋体"/>
          <w:b/>
          <w:sz w:val="24"/>
          <w:szCs w:val="24"/>
        </w:rPr>
        <w:t>、合格供应商资格条件：</w:t>
      </w:r>
    </w:p>
    <w:p w14:paraId="0EB39A5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ascii="宋体" w:hAnsi="宋体"/>
          <w:sz w:val="24"/>
          <w:szCs w:val="24"/>
        </w:rPr>
      </w:pPr>
      <w:r>
        <w:rPr>
          <w:rFonts w:hint="eastAsia" w:ascii="宋体" w:hAnsi="宋体"/>
          <w:sz w:val="24"/>
          <w:szCs w:val="24"/>
        </w:rPr>
        <w:t>1.</w:t>
      </w:r>
      <w:r>
        <w:rPr>
          <w:rFonts w:hint="eastAsia" w:asciiTheme="minorEastAsia" w:hAnsiTheme="minorEastAsia" w:eastAsiaTheme="minorEastAsia" w:cstheme="minorEastAsia"/>
          <w:sz w:val="24"/>
          <w:szCs w:val="24"/>
        </w:rPr>
        <w:t>具备独立法人资格，拥有</w:t>
      </w:r>
      <w:r>
        <w:rPr>
          <w:rFonts w:hint="eastAsia" w:asciiTheme="minorEastAsia" w:hAnsiTheme="minorEastAsia" w:cstheme="minorEastAsia"/>
          <w:sz w:val="24"/>
          <w:szCs w:val="24"/>
          <w:lang w:val="en-US" w:eastAsia="zh-CN"/>
        </w:rPr>
        <w:t>消防器材</w:t>
      </w:r>
      <w:r>
        <w:rPr>
          <w:rFonts w:hint="eastAsia" w:asciiTheme="minorEastAsia" w:hAnsiTheme="minorEastAsia" w:eastAsiaTheme="minorEastAsia" w:cstheme="minorEastAsia"/>
          <w:sz w:val="24"/>
          <w:szCs w:val="24"/>
        </w:rPr>
        <w:t>销售、供货</w:t>
      </w:r>
      <w:r>
        <w:rPr>
          <w:rFonts w:hint="eastAsia" w:asciiTheme="minorEastAsia" w:hAnsiTheme="minorEastAsia" w:cstheme="minorEastAsia"/>
          <w:sz w:val="24"/>
          <w:szCs w:val="24"/>
          <w:lang w:val="en-US" w:eastAsia="zh-CN"/>
        </w:rPr>
        <w:t>及安装等</w:t>
      </w:r>
      <w:r>
        <w:rPr>
          <w:rFonts w:hint="eastAsia" w:asciiTheme="minorEastAsia" w:hAnsiTheme="minorEastAsia" w:eastAsiaTheme="minorEastAsia" w:cstheme="minorEastAsia"/>
          <w:sz w:val="24"/>
          <w:szCs w:val="24"/>
        </w:rPr>
        <w:t>相关经营资质，证照齐全、合规经营</w:t>
      </w:r>
      <w:r>
        <w:rPr>
          <w:rFonts w:hint="eastAsia" w:ascii="宋体" w:hAnsi="宋体"/>
          <w:sz w:val="24"/>
          <w:szCs w:val="24"/>
        </w:rPr>
        <w:t>；</w:t>
      </w:r>
    </w:p>
    <w:p w14:paraId="49A3E0B1">
      <w:pPr>
        <w:spacing w:line="500" w:lineRule="exact"/>
        <w:ind w:firstLine="480" w:firstLineChars="200"/>
        <w:rPr>
          <w:rFonts w:ascii="宋体" w:hAnsi="宋体"/>
          <w:color w:val="000000"/>
          <w:sz w:val="24"/>
          <w:szCs w:val="24"/>
        </w:rPr>
      </w:pPr>
      <w:r>
        <w:rPr>
          <w:rFonts w:hint="eastAsia" w:ascii="宋体" w:hAnsi="宋体"/>
          <w:sz w:val="24"/>
          <w:szCs w:val="24"/>
        </w:rPr>
        <w:t>2.受到招投标行政监管部门限制投标处罚的，至市场比价投标截止之日仍在处罚期内的供应商不得参与投标</w:t>
      </w:r>
      <w:r>
        <w:rPr>
          <w:rFonts w:hint="eastAsia" w:ascii="宋体" w:hAnsi="宋体"/>
          <w:color w:val="000000"/>
          <w:sz w:val="24"/>
          <w:szCs w:val="24"/>
        </w:rPr>
        <w:t>；</w:t>
      </w:r>
    </w:p>
    <w:p w14:paraId="173BA7A5">
      <w:pPr>
        <w:spacing w:line="500" w:lineRule="exact"/>
        <w:ind w:firstLine="480" w:firstLineChars="200"/>
        <w:rPr>
          <w:rFonts w:ascii="宋体" w:hAnsi="宋体"/>
          <w:sz w:val="24"/>
          <w:szCs w:val="24"/>
        </w:rPr>
      </w:pPr>
      <w:r>
        <w:rPr>
          <w:rFonts w:hint="eastAsia" w:ascii="宋体" w:hAnsi="宋体"/>
          <w:sz w:val="24"/>
          <w:szCs w:val="24"/>
        </w:rPr>
        <w:t>3.本项目不允许联合体投标；</w:t>
      </w:r>
    </w:p>
    <w:p w14:paraId="61B68624">
      <w:pPr>
        <w:spacing w:line="500" w:lineRule="exact"/>
        <w:ind w:firstLine="480" w:firstLineChars="200"/>
        <w:rPr>
          <w:rFonts w:ascii="宋体" w:hAnsi="宋体"/>
          <w:sz w:val="24"/>
          <w:szCs w:val="24"/>
        </w:rPr>
      </w:pPr>
      <w:r>
        <w:rPr>
          <w:rFonts w:hint="eastAsia" w:ascii="宋体" w:hAnsi="宋体"/>
          <w:sz w:val="24"/>
          <w:szCs w:val="24"/>
        </w:rPr>
        <w:t>4.供应商存在以下不良信用记录情形之一的，不得推荐为成交候选供应商，不得确定为成交供应商：</w:t>
      </w:r>
    </w:p>
    <w:p w14:paraId="40937788">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1）供应商被人民法院列入失信被执行人的；</w:t>
      </w:r>
    </w:p>
    <w:p w14:paraId="0FD31789">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2）供应商被人民检察院列入行贿犯罪档案的；</w:t>
      </w:r>
    </w:p>
    <w:p w14:paraId="583E7084">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3）供应商被工商行政管理部门列入企业经营异常名录的；</w:t>
      </w:r>
    </w:p>
    <w:p w14:paraId="30BAF206">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4）供应商被税务部门列入重大税收违法案件当事人名单的；</w:t>
      </w:r>
    </w:p>
    <w:p w14:paraId="3AA63A49">
      <w:pPr>
        <w:spacing w:line="500" w:lineRule="exact"/>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rPr>
        <w:t xml:space="preserve">5）供应商被政府采购监管部门列入政府采购严重违法失信行为记录名单的。 </w:t>
      </w:r>
      <w:r>
        <w:rPr>
          <w:rFonts w:ascii="宋体" w:hAnsi="宋体"/>
          <w:sz w:val="24"/>
          <w:szCs w:val="24"/>
        </w:rPr>
        <w:t xml:space="preserve">           </w:t>
      </w:r>
    </w:p>
    <w:p w14:paraId="2E05B231">
      <w:pPr>
        <w:spacing w:line="500" w:lineRule="exact"/>
        <w:ind w:firstLine="482" w:firstLineChars="200"/>
        <w:rPr>
          <w:rFonts w:ascii="宋体" w:hAnsi="宋体"/>
          <w:sz w:val="24"/>
          <w:szCs w:val="24"/>
        </w:rPr>
      </w:pPr>
      <w:r>
        <w:rPr>
          <w:rFonts w:hint="eastAsia" w:ascii="宋体" w:hAnsi="宋体"/>
          <w:b/>
          <w:sz w:val="24"/>
          <w:szCs w:val="24"/>
          <w:lang w:val="en-US" w:eastAsia="zh-CN"/>
        </w:rPr>
        <w:t>四</w:t>
      </w:r>
      <w:r>
        <w:rPr>
          <w:rFonts w:hint="eastAsia" w:ascii="宋体" w:hAnsi="宋体"/>
          <w:b/>
          <w:sz w:val="24"/>
          <w:szCs w:val="24"/>
        </w:rPr>
        <w:t>、资格审查：</w:t>
      </w:r>
      <w:r>
        <w:rPr>
          <w:rFonts w:hint="eastAsia" w:ascii="宋体" w:hAnsi="宋体"/>
          <w:sz w:val="24"/>
          <w:szCs w:val="24"/>
        </w:rPr>
        <w:t>本次采购采取资格后审方式，资格审查将在开标后由评审小组审查。</w:t>
      </w:r>
    </w:p>
    <w:p w14:paraId="10E31C45">
      <w:pPr>
        <w:spacing w:line="500" w:lineRule="exact"/>
        <w:ind w:firstLine="482" w:firstLineChars="200"/>
        <w:rPr>
          <w:rFonts w:ascii="宋体" w:hAnsi="宋体"/>
          <w:b/>
          <w:sz w:val="24"/>
          <w:szCs w:val="24"/>
        </w:rPr>
      </w:pPr>
      <w:r>
        <w:rPr>
          <w:rFonts w:hint="eastAsia" w:ascii="宋体" w:hAnsi="宋体"/>
          <w:b/>
          <w:sz w:val="24"/>
          <w:szCs w:val="24"/>
          <w:lang w:val="en-US" w:eastAsia="zh-CN"/>
        </w:rPr>
        <w:t>五</w:t>
      </w:r>
      <w:r>
        <w:rPr>
          <w:rFonts w:hint="eastAsia" w:ascii="宋体" w:hAnsi="宋体"/>
          <w:b/>
          <w:sz w:val="24"/>
          <w:szCs w:val="24"/>
        </w:rPr>
        <w:t>、市场比价文件获取方式：</w:t>
      </w:r>
    </w:p>
    <w:p w14:paraId="13687146">
      <w:pPr>
        <w:spacing w:line="500" w:lineRule="exact"/>
        <w:ind w:firstLine="480" w:firstLineChars="200"/>
        <w:rPr>
          <w:rFonts w:ascii="宋体" w:hAnsi="宋体"/>
          <w:sz w:val="24"/>
          <w:szCs w:val="24"/>
        </w:rPr>
      </w:pPr>
      <w:r>
        <w:rPr>
          <w:rFonts w:hint="eastAsia" w:ascii="宋体" w:hAnsi="宋体"/>
          <w:sz w:val="24"/>
          <w:szCs w:val="24"/>
        </w:rPr>
        <w:t>于202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lang w:val="en-US" w:eastAsia="zh-CN"/>
        </w:rPr>
        <w:t>9</w:t>
      </w:r>
      <w:r>
        <w:rPr>
          <w:rFonts w:hint="eastAsia" w:ascii="宋体" w:hAnsi="宋体"/>
          <w:sz w:val="24"/>
          <w:szCs w:val="24"/>
        </w:rPr>
        <w:t>月</w:t>
      </w:r>
      <w:r>
        <w:rPr>
          <w:rFonts w:hint="eastAsia" w:ascii="宋体" w:hAnsi="宋体"/>
          <w:sz w:val="24"/>
          <w:szCs w:val="24"/>
          <w:lang w:val="en-US" w:eastAsia="zh-CN"/>
        </w:rPr>
        <w:t>21</w:t>
      </w:r>
      <w:r>
        <w:rPr>
          <w:rFonts w:hint="eastAsia" w:ascii="宋体" w:hAnsi="宋体"/>
          <w:sz w:val="24"/>
          <w:szCs w:val="24"/>
        </w:rPr>
        <w:t>日开始在铜陵学院安全管理处官网（bwc.tlu.edu.cn）自行下载本项目市场比价文件。</w:t>
      </w:r>
    </w:p>
    <w:p w14:paraId="0FBBDC88">
      <w:pPr>
        <w:widowControl/>
        <w:spacing w:line="440" w:lineRule="exact"/>
        <w:ind w:firstLine="482" w:firstLineChars="200"/>
        <w:rPr>
          <w:rFonts w:ascii="宋体" w:hAnsi="宋体"/>
          <w:b/>
          <w:sz w:val="24"/>
          <w:szCs w:val="24"/>
        </w:rPr>
      </w:pPr>
      <w:r>
        <w:rPr>
          <w:rFonts w:hint="eastAsia" w:ascii="宋体" w:hAnsi="宋体"/>
          <w:b/>
          <w:sz w:val="24"/>
          <w:szCs w:val="24"/>
        </w:rPr>
        <w:t>七、投标响应文件递交截止时间及市场比价时间：</w:t>
      </w:r>
    </w:p>
    <w:p w14:paraId="1D15D75C">
      <w:pPr>
        <w:widowControl/>
        <w:spacing w:line="440" w:lineRule="exact"/>
        <w:ind w:firstLine="480" w:firstLineChars="200"/>
        <w:rPr>
          <w:rFonts w:ascii="宋体" w:hAnsi="宋体"/>
          <w:sz w:val="24"/>
          <w:szCs w:val="24"/>
        </w:rPr>
      </w:pPr>
      <w:r>
        <w:rPr>
          <w:rFonts w:hint="eastAsia" w:ascii="宋体" w:hAnsi="宋体"/>
          <w:sz w:val="24"/>
          <w:szCs w:val="24"/>
        </w:rPr>
        <w:t>1.提交时间</w:t>
      </w:r>
      <w:r>
        <w:rPr>
          <w:rFonts w:hint="eastAsia" w:ascii="宋体" w:hAnsi="宋体"/>
          <w:color w:val="000000"/>
          <w:sz w:val="24"/>
          <w:szCs w:val="24"/>
        </w:rPr>
        <w:t>202</w:t>
      </w:r>
      <w:r>
        <w:rPr>
          <w:rFonts w:hint="eastAsia" w:ascii="宋体" w:hAnsi="宋体"/>
          <w:color w:val="000000"/>
          <w:sz w:val="24"/>
          <w:szCs w:val="24"/>
          <w:lang w:val="en-US" w:eastAsia="zh-CN"/>
        </w:rPr>
        <w:t>6</w:t>
      </w:r>
      <w:r>
        <w:rPr>
          <w:rFonts w:hint="eastAsia" w:ascii="宋体" w:hAnsi="宋体"/>
          <w:color w:val="000000"/>
          <w:sz w:val="24"/>
          <w:szCs w:val="24"/>
        </w:rPr>
        <w:t>年</w:t>
      </w:r>
      <w:r>
        <w:rPr>
          <w:rFonts w:hint="eastAsia" w:ascii="宋体" w:hAnsi="宋体"/>
          <w:color w:val="000000"/>
          <w:sz w:val="24"/>
          <w:szCs w:val="24"/>
          <w:lang w:val="en-US" w:eastAsia="zh-CN"/>
        </w:rPr>
        <w:t>9</w:t>
      </w:r>
      <w:r>
        <w:rPr>
          <w:rFonts w:hint="eastAsia" w:ascii="宋体" w:hAnsi="宋体"/>
          <w:color w:val="000000"/>
          <w:sz w:val="24"/>
          <w:szCs w:val="24"/>
        </w:rPr>
        <w:t>月</w:t>
      </w:r>
      <w:r>
        <w:rPr>
          <w:rFonts w:hint="eastAsia" w:ascii="宋体" w:hAnsi="宋体"/>
          <w:color w:val="000000"/>
          <w:sz w:val="24"/>
          <w:szCs w:val="24"/>
          <w:lang w:val="en-US" w:eastAsia="zh-CN"/>
        </w:rPr>
        <w:t>28</w:t>
      </w:r>
      <w:r>
        <w:rPr>
          <w:rFonts w:hint="eastAsia" w:ascii="宋体" w:hAnsi="宋体"/>
          <w:color w:val="000000"/>
          <w:sz w:val="24"/>
          <w:szCs w:val="24"/>
        </w:rPr>
        <w:t>日11时 00 分前</w:t>
      </w:r>
      <w:r>
        <w:rPr>
          <w:rFonts w:hint="eastAsia" w:ascii="宋体" w:hAnsi="宋体"/>
          <w:sz w:val="24"/>
          <w:szCs w:val="24"/>
        </w:rPr>
        <w:t>递交投标响应文件。</w:t>
      </w:r>
    </w:p>
    <w:p w14:paraId="391972D2">
      <w:pPr>
        <w:widowControl/>
        <w:spacing w:line="440" w:lineRule="exact"/>
        <w:ind w:firstLine="480" w:firstLineChars="200"/>
        <w:rPr>
          <w:rFonts w:ascii="宋体" w:hAnsi="宋体"/>
          <w:sz w:val="24"/>
          <w:szCs w:val="24"/>
        </w:rPr>
      </w:pPr>
      <w:r>
        <w:rPr>
          <w:rFonts w:hint="eastAsia" w:ascii="宋体" w:hAnsi="宋体"/>
          <w:bCs/>
          <w:kern w:val="0"/>
          <w:sz w:val="24"/>
          <w:szCs w:val="24"/>
        </w:rPr>
        <w:t>2.</w:t>
      </w:r>
      <w:r>
        <w:rPr>
          <w:rFonts w:hint="eastAsia" w:ascii="宋体" w:hAnsi="宋体" w:cs="Times New Roman"/>
          <w:sz w:val="24"/>
          <w:szCs w:val="24"/>
        </w:rPr>
        <w:t>递交地点：铜陵学院翠湖校区大学生活动中心107安全管理处，联系人：</w:t>
      </w:r>
      <w:r>
        <w:rPr>
          <w:rFonts w:hint="eastAsia" w:ascii="宋体" w:hAnsi="宋体" w:cs="Times New Roman"/>
          <w:sz w:val="24"/>
          <w:szCs w:val="24"/>
          <w:lang w:val="en-US" w:eastAsia="zh-CN"/>
        </w:rPr>
        <w:t>于</w:t>
      </w:r>
      <w:r>
        <w:rPr>
          <w:rFonts w:hint="eastAsia" w:ascii="宋体" w:hAnsi="宋体" w:cs="Times New Roman"/>
          <w:sz w:val="24"/>
          <w:szCs w:val="24"/>
        </w:rPr>
        <w:t>老师（0562-5881012）。</w:t>
      </w:r>
    </w:p>
    <w:p w14:paraId="511DCC84">
      <w:pPr>
        <w:widowControl/>
        <w:spacing w:line="440" w:lineRule="exact"/>
        <w:ind w:firstLine="480"/>
        <w:jc w:val="left"/>
        <w:rPr>
          <w:rFonts w:ascii="宋体" w:hAnsi="宋体"/>
          <w:sz w:val="24"/>
          <w:szCs w:val="24"/>
          <w:highlight w:val="none"/>
        </w:rPr>
      </w:pPr>
      <w:r>
        <w:rPr>
          <w:rFonts w:hint="eastAsia" w:ascii="宋体" w:hAnsi="宋体"/>
          <w:sz w:val="24"/>
          <w:szCs w:val="24"/>
          <w:highlight w:val="none"/>
        </w:rPr>
        <w:t>（因校园管理要求，请投标人在202</w:t>
      </w:r>
      <w:r>
        <w:rPr>
          <w:rFonts w:hint="eastAsia" w:ascii="宋体" w:hAnsi="宋体"/>
          <w:sz w:val="24"/>
          <w:szCs w:val="24"/>
          <w:highlight w:val="none"/>
          <w:lang w:val="en-US" w:eastAsia="zh-CN"/>
        </w:rPr>
        <w:t>6</w:t>
      </w:r>
      <w:r>
        <w:rPr>
          <w:rFonts w:hint="eastAsia" w:ascii="宋体" w:hAnsi="宋体"/>
          <w:sz w:val="24"/>
          <w:szCs w:val="24"/>
          <w:highlight w:val="none"/>
        </w:rPr>
        <w:t>年</w:t>
      </w:r>
      <w:r>
        <w:rPr>
          <w:rFonts w:hint="eastAsia" w:ascii="宋体" w:hAnsi="宋体"/>
          <w:sz w:val="24"/>
          <w:szCs w:val="24"/>
          <w:highlight w:val="none"/>
          <w:lang w:val="en-US" w:eastAsia="zh-CN"/>
        </w:rPr>
        <w:t>9</w:t>
      </w:r>
      <w:r>
        <w:rPr>
          <w:rFonts w:hint="eastAsia" w:ascii="宋体" w:hAnsi="宋体"/>
          <w:sz w:val="24"/>
          <w:szCs w:val="24"/>
          <w:highlight w:val="none"/>
        </w:rPr>
        <w:t>月</w:t>
      </w:r>
      <w:r>
        <w:rPr>
          <w:rFonts w:hint="eastAsia" w:ascii="宋体" w:hAnsi="宋体"/>
          <w:sz w:val="24"/>
          <w:szCs w:val="24"/>
          <w:highlight w:val="none"/>
          <w:lang w:val="en-US" w:eastAsia="zh-CN"/>
        </w:rPr>
        <w:t>27</w:t>
      </w:r>
      <w:r>
        <w:rPr>
          <w:rFonts w:hint="eastAsia" w:ascii="宋体" w:hAnsi="宋体"/>
          <w:sz w:val="24"/>
          <w:szCs w:val="24"/>
          <w:highlight w:val="none"/>
        </w:rPr>
        <w:t>日上午8:30-11:00期间投递投标文件，</w:t>
      </w:r>
      <w:r>
        <w:rPr>
          <w:rFonts w:hint="eastAsia" w:ascii="宋体" w:hAnsi="宋体"/>
          <w:sz w:val="24"/>
          <w:szCs w:val="24"/>
          <w:highlight w:val="none"/>
          <w:lang w:eastAsia="zh-CN"/>
        </w:rPr>
        <w:t>其他时段</w:t>
      </w:r>
      <w:r>
        <w:rPr>
          <w:rFonts w:hint="eastAsia" w:ascii="宋体" w:hAnsi="宋体"/>
          <w:sz w:val="24"/>
          <w:szCs w:val="24"/>
          <w:highlight w:val="none"/>
        </w:rPr>
        <w:t>不接收）。</w:t>
      </w:r>
    </w:p>
    <w:p w14:paraId="0F7B8048">
      <w:pPr>
        <w:spacing w:line="500" w:lineRule="exact"/>
        <w:ind w:firstLine="482" w:firstLineChars="200"/>
        <w:rPr>
          <w:rFonts w:ascii="宋体" w:hAnsi="宋体"/>
          <w:sz w:val="24"/>
          <w:szCs w:val="24"/>
        </w:rPr>
      </w:pPr>
      <w:r>
        <w:rPr>
          <w:rFonts w:hint="eastAsia" w:ascii="宋体" w:hAnsi="宋体"/>
          <w:b/>
          <w:sz w:val="24"/>
          <w:szCs w:val="24"/>
        </w:rPr>
        <w:t>八、付款方式：</w:t>
      </w:r>
      <w:r>
        <w:rPr>
          <w:rFonts w:hint="eastAsia" w:ascii="宋体" w:hAnsi="宋体"/>
          <w:sz w:val="24"/>
          <w:szCs w:val="24"/>
        </w:rPr>
        <w:t>本项目不支付预付款。验收合格</w:t>
      </w:r>
      <w:r>
        <w:rPr>
          <w:rFonts w:hint="eastAsia" w:ascii="宋体" w:hAnsi="宋体"/>
          <w:sz w:val="24"/>
          <w:szCs w:val="24"/>
          <w:lang w:val="en-US" w:eastAsia="zh-CN"/>
        </w:rPr>
        <w:t>一次性</w:t>
      </w:r>
      <w:r>
        <w:rPr>
          <w:rFonts w:hint="eastAsia" w:ascii="宋体" w:hAnsi="宋体"/>
          <w:sz w:val="24"/>
          <w:szCs w:val="24"/>
        </w:rPr>
        <w:t>支付。</w:t>
      </w:r>
    </w:p>
    <w:p w14:paraId="3311023D">
      <w:pPr>
        <w:spacing w:line="500" w:lineRule="exact"/>
        <w:ind w:firstLine="482" w:firstLineChars="200"/>
        <w:rPr>
          <w:rFonts w:ascii="宋体" w:hAnsi="宋体"/>
          <w:b/>
          <w:sz w:val="24"/>
          <w:szCs w:val="24"/>
        </w:rPr>
      </w:pPr>
      <w:r>
        <w:rPr>
          <w:rFonts w:hint="eastAsia" w:ascii="宋体" w:hAnsi="宋体"/>
          <w:b/>
          <w:sz w:val="24"/>
          <w:szCs w:val="24"/>
        </w:rPr>
        <w:t>九、联系方式</w:t>
      </w:r>
    </w:p>
    <w:p w14:paraId="52475262">
      <w:pPr>
        <w:widowControl/>
        <w:shd w:val="clear" w:color="auto" w:fill="FFFFFF"/>
        <w:snapToGrid w:val="0"/>
        <w:spacing w:line="500" w:lineRule="exact"/>
        <w:ind w:firstLine="600" w:firstLineChars="250"/>
        <w:rPr>
          <w:rFonts w:ascii="宋体" w:hAnsi="宋体"/>
          <w:sz w:val="24"/>
          <w:szCs w:val="24"/>
        </w:rPr>
      </w:pPr>
      <w:r>
        <w:rPr>
          <w:rFonts w:hint="eastAsia" w:ascii="宋体" w:hAnsi="宋体"/>
          <w:sz w:val="24"/>
          <w:szCs w:val="24"/>
        </w:rPr>
        <w:t>1.采购人信息</w:t>
      </w:r>
    </w:p>
    <w:p w14:paraId="2A68E5A1">
      <w:pPr>
        <w:widowControl/>
        <w:shd w:val="clear" w:color="auto" w:fill="FFFFFF"/>
        <w:snapToGrid w:val="0"/>
        <w:spacing w:line="500" w:lineRule="exact"/>
        <w:ind w:firstLine="600" w:firstLineChars="250"/>
        <w:rPr>
          <w:rFonts w:ascii="宋体" w:hAnsi="宋体"/>
          <w:sz w:val="24"/>
          <w:szCs w:val="24"/>
        </w:rPr>
      </w:pPr>
      <w:r>
        <w:rPr>
          <w:rFonts w:hint="eastAsia" w:ascii="宋体" w:hAnsi="宋体"/>
          <w:sz w:val="24"/>
          <w:szCs w:val="24"/>
        </w:rPr>
        <w:t xml:space="preserve">名 称：铜陵学院安全管理处   </w:t>
      </w:r>
    </w:p>
    <w:p w14:paraId="58E0761B">
      <w:pPr>
        <w:widowControl/>
        <w:shd w:val="clear" w:color="auto" w:fill="FFFFFF"/>
        <w:snapToGrid w:val="0"/>
        <w:spacing w:line="500" w:lineRule="exact"/>
        <w:ind w:firstLine="600" w:firstLineChars="250"/>
        <w:rPr>
          <w:rFonts w:ascii="宋体" w:hAnsi="宋体"/>
          <w:sz w:val="24"/>
          <w:szCs w:val="24"/>
        </w:rPr>
      </w:pPr>
      <w:r>
        <w:rPr>
          <w:rFonts w:hint="eastAsia" w:ascii="宋体" w:hAnsi="宋体"/>
          <w:sz w:val="24"/>
          <w:szCs w:val="24"/>
        </w:rPr>
        <w:t>联系人、联系电话：</w:t>
      </w:r>
      <w:r>
        <w:rPr>
          <w:rFonts w:hint="eastAsia" w:ascii="宋体" w:hAnsi="宋体"/>
          <w:sz w:val="24"/>
          <w:szCs w:val="24"/>
          <w:lang w:val="en-US" w:eastAsia="zh-CN"/>
        </w:rPr>
        <w:t>于</w:t>
      </w:r>
      <w:r>
        <w:rPr>
          <w:rFonts w:hint="eastAsia" w:ascii="宋体" w:hAnsi="宋体"/>
          <w:sz w:val="24"/>
          <w:szCs w:val="24"/>
        </w:rPr>
        <w:t>老师  0562-5881012</w:t>
      </w:r>
    </w:p>
    <w:p w14:paraId="3EF2E0A3">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6802E2CE">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3A78474A">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3A8ACA6D">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p>
    <w:p w14:paraId="2682A041">
      <w:pPr>
        <w:keepNext w:val="0"/>
        <w:keepLines w:val="0"/>
        <w:pageBreakBefore w:val="0"/>
        <w:widowControl w:val="0"/>
        <w:kinsoku/>
        <w:wordWrap/>
        <w:overflowPunct/>
        <w:topLinePunct w:val="0"/>
        <w:autoSpaceDE/>
        <w:autoSpaceDN/>
        <w:bidi w:val="0"/>
        <w:adjustRightInd/>
        <w:snapToGrid/>
        <w:spacing w:before="480" w:after="480" w:line="240" w:lineRule="auto"/>
        <w:ind w:left="0"/>
        <w:jc w:val="center"/>
        <w:textAlignment w:val="auto"/>
        <w:rPr>
          <w:rFonts w:hint="eastAsia" w:ascii="黑体" w:hAnsi="黑体" w:eastAsia="黑体" w:cs="黑体"/>
          <w:b/>
          <w:bCs w:val="0"/>
          <w:sz w:val="44"/>
          <w:szCs w:val="44"/>
          <w:lang w:val="en-US" w:eastAsia="zh-CN"/>
        </w:rPr>
      </w:pPr>
      <w:r>
        <w:rPr>
          <w:rFonts w:hint="eastAsia" w:ascii="黑体" w:hAnsi="黑体" w:eastAsia="黑体" w:cs="黑体"/>
          <w:b/>
          <w:bCs w:val="0"/>
          <w:sz w:val="44"/>
          <w:szCs w:val="44"/>
          <w:lang w:val="en-US" w:eastAsia="zh-CN"/>
        </w:rPr>
        <w:t>2026年铜陵学院</w:t>
      </w:r>
      <w:r>
        <w:rPr>
          <w:rFonts w:hint="eastAsia" w:ascii="黑体" w:hAnsi="黑体" w:eastAsia="黑体" w:cs="黑体"/>
          <w:b/>
          <w:bCs w:val="0"/>
          <w:sz w:val="44"/>
          <w:szCs w:val="44"/>
        </w:rPr>
        <w:t>育秀校区</w:t>
      </w:r>
      <w:r>
        <w:rPr>
          <w:rFonts w:hint="eastAsia" w:ascii="黑体" w:hAnsi="黑体" w:eastAsia="黑体" w:cs="黑体"/>
          <w:b/>
          <w:bCs w:val="0"/>
          <w:sz w:val="44"/>
          <w:szCs w:val="44"/>
          <w:lang w:val="en-US" w:eastAsia="zh-CN"/>
        </w:rPr>
        <w:t>消防器材采购与安装项目比价文件</w:t>
      </w:r>
    </w:p>
    <w:p w14:paraId="2FC51439">
      <w:pPr>
        <w:keepNext w:val="0"/>
        <w:keepLines w:val="0"/>
        <w:widowControl/>
        <w:suppressLineNumbers w:val="0"/>
        <w:ind w:firstLine="480" w:firstLineChars="200"/>
        <w:jc w:val="left"/>
      </w:pPr>
      <w:r>
        <w:rPr>
          <w:rFonts w:hint="eastAsia" w:ascii="宋体" w:hAnsi="宋体" w:eastAsia="宋体" w:cs="宋体"/>
          <w:kern w:val="0"/>
          <w:sz w:val="24"/>
          <w:szCs w:val="24"/>
          <w:lang w:val="en-US" w:eastAsia="zh-CN" w:bidi="ar"/>
        </w:rPr>
        <w:t>铜陵学院育秀校</w:t>
      </w:r>
      <w:r>
        <w:rPr>
          <w:rFonts w:ascii="宋体" w:hAnsi="宋体" w:eastAsia="宋体" w:cs="宋体"/>
          <w:kern w:val="0"/>
          <w:sz w:val="24"/>
          <w:szCs w:val="24"/>
          <w:lang w:val="en-US" w:eastAsia="zh-CN" w:bidi="ar"/>
        </w:rPr>
        <w:t>区已完成校内区域翻新改造工作，改造后校园功能布局、场地使用场景均发生调整。结合《建筑灭火器配置设计规范》（GB50140-2005）及校园消防安全管理相关规定，校区各类教学、公共及功能用房需按标准足额配置灭火器。经全面排查，校区原有灭火器因改造施工出现</w:t>
      </w:r>
      <w:r>
        <w:rPr>
          <w:rFonts w:hint="eastAsia" w:ascii="宋体" w:hAnsi="宋体" w:eastAsia="宋体" w:cs="宋体"/>
          <w:kern w:val="0"/>
          <w:sz w:val="24"/>
          <w:szCs w:val="24"/>
          <w:lang w:val="en-US" w:eastAsia="zh-CN" w:bidi="ar"/>
        </w:rPr>
        <w:t>损坏、丢失</w:t>
      </w:r>
      <w:r>
        <w:rPr>
          <w:rFonts w:ascii="宋体" w:hAnsi="宋体" w:eastAsia="宋体" w:cs="宋体"/>
          <w:kern w:val="0"/>
          <w:sz w:val="24"/>
          <w:szCs w:val="24"/>
          <w:lang w:val="en-US" w:eastAsia="zh-CN" w:bidi="ar"/>
        </w:rPr>
        <w:t>、数量不足等问题，新增改造区域无配套灭火器材，整体灭火器缺口较大，现有配置无法满足消防安全规范及日常安全管理要求，存在火灾安全隐患。为彻底消除消防隐患，全面落实消防安全标准化配置要求，补齐消防器材短板，提升校区初期火灾应急处置能力，保障在校师生人身安全及校园公共财产安全，适配校区改造后的消防安全保障需求，现采购足额合规的灭火器</w:t>
      </w:r>
      <w:r>
        <w:rPr>
          <w:rFonts w:hint="eastAsia" w:ascii="宋体" w:hAnsi="宋体" w:eastAsia="宋体" w:cs="宋体"/>
          <w:kern w:val="0"/>
          <w:sz w:val="24"/>
          <w:szCs w:val="24"/>
          <w:lang w:val="en-US" w:eastAsia="zh-CN" w:bidi="ar"/>
        </w:rPr>
        <w:t>、水带等</w:t>
      </w:r>
      <w:r>
        <w:rPr>
          <w:rFonts w:ascii="宋体" w:hAnsi="宋体" w:eastAsia="宋体" w:cs="宋体"/>
          <w:kern w:val="0"/>
          <w:sz w:val="24"/>
          <w:szCs w:val="24"/>
          <w:lang w:val="en-US" w:eastAsia="zh-CN" w:bidi="ar"/>
        </w:rPr>
        <w:t>，实现全校区域消防器材标准化、全覆盖配置，筑牢校园消防安全防线。</w:t>
      </w:r>
    </w:p>
    <w:p w14:paraId="5926789E">
      <w:pPr>
        <w:spacing w:line="500" w:lineRule="exact"/>
        <w:ind w:firstLine="480" w:firstLineChars="200"/>
        <w:rPr>
          <w:rFonts w:ascii="宋体" w:hAnsi="宋体" w:cs="Times New Roman"/>
          <w:color w:val="auto"/>
          <w:kern w:val="0"/>
          <w:sz w:val="24"/>
          <w:szCs w:val="24"/>
          <w:highlight w:val="none"/>
        </w:rPr>
      </w:pPr>
      <w:r>
        <w:rPr>
          <w:rFonts w:hint="eastAsia" w:ascii="宋体" w:hAnsi="宋体"/>
          <w:color w:val="auto"/>
          <w:kern w:val="0"/>
          <w:sz w:val="24"/>
          <w:szCs w:val="24"/>
          <w:highlight w:val="none"/>
        </w:rPr>
        <w:t>一、市场比价须知</w:t>
      </w:r>
    </w:p>
    <w:p w14:paraId="4CB9D976">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lang w:eastAsia="zh-CN"/>
        </w:rPr>
        <w:t>1.</w:t>
      </w:r>
      <w:r>
        <w:rPr>
          <w:rFonts w:hint="eastAsia" w:ascii="宋体" w:hAnsi="宋体"/>
          <w:color w:val="auto"/>
          <w:kern w:val="0"/>
          <w:sz w:val="24"/>
          <w:szCs w:val="24"/>
          <w:highlight w:val="none"/>
        </w:rPr>
        <w:t>对本项目感兴趣的供应商，不统一安排时间</w:t>
      </w:r>
      <w:r>
        <w:rPr>
          <w:rFonts w:hint="eastAsia" w:ascii="宋体" w:hAnsi="宋体"/>
          <w:color w:val="auto"/>
          <w:kern w:val="0"/>
          <w:sz w:val="24"/>
          <w:szCs w:val="24"/>
          <w:highlight w:val="none"/>
          <w:lang w:eastAsia="zh-CN"/>
        </w:rPr>
        <w:t>勘查现场</w:t>
      </w:r>
      <w:r>
        <w:rPr>
          <w:rFonts w:hint="eastAsia" w:ascii="宋体" w:hAnsi="宋体"/>
          <w:color w:val="auto"/>
          <w:kern w:val="0"/>
          <w:sz w:val="24"/>
          <w:szCs w:val="24"/>
          <w:highlight w:val="none"/>
        </w:rPr>
        <w:t>，若供应商有勘察需求，自行与铜陵学院相关使用部门联系。</w:t>
      </w:r>
    </w:p>
    <w:p w14:paraId="5E85FDF5">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color w:val="auto"/>
          <w:kern w:val="0"/>
          <w:sz w:val="24"/>
          <w:szCs w:val="24"/>
          <w:highlight w:val="none"/>
          <w:lang w:eastAsia="zh-CN"/>
        </w:rPr>
        <w:t>2.</w:t>
      </w:r>
      <w:r>
        <w:rPr>
          <w:rFonts w:hint="eastAsia" w:ascii="宋体" w:hAnsi="宋体"/>
          <w:color w:val="auto"/>
          <w:kern w:val="0"/>
          <w:sz w:val="24"/>
          <w:szCs w:val="24"/>
          <w:highlight w:val="none"/>
        </w:rPr>
        <w:t>供应商如对本市场比价文件投标报价，即表示认可采购人提出的上述要求，且在报价时间截止后不得撤回，否则，该供应商将被记入不良供应商名单，在被限制投标（响应）的时间内不得参与采购人组织的任何采购活动。</w:t>
      </w:r>
    </w:p>
    <w:p w14:paraId="1BBAD70A">
      <w:pPr>
        <w:widowControl/>
        <w:shd w:val="clear" w:color="auto" w:fill="FFFFFF"/>
        <w:spacing w:line="460" w:lineRule="exact"/>
        <w:ind w:firstLine="480"/>
        <w:rPr>
          <w:rFonts w:hint="eastAsia" w:ascii="宋体" w:hAnsi="宋体"/>
          <w:color w:val="auto"/>
          <w:kern w:val="0"/>
          <w:sz w:val="24"/>
          <w:szCs w:val="24"/>
          <w:highlight w:val="none"/>
          <w:lang w:val="en-US" w:eastAsia="zh-CN"/>
        </w:rPr>
      </w:pPr>
      <w:r>
        <w:rPr>
          <w:rFonts w:hint="eastAsia" w:ascii="宋体" w:hAnsi="宋体"/>
          <w:kern w:val="0"/>
          <w:sz w:val="24"/>
          <w:szCs w:val="24"/>
          <w:lang w:eastAsia="zh-CN"/>
        </w:rPr>
        <w:t>3.</w:t>
      </w:r>
      <w:r>
        <w:rPr>
          <w:rFonts w:hint="eastAsia" w:ascii="宋体" w:hAnsi="宋体"/>
          <w:kern w:val="0"/>
          <w:sz w:val="24"/>
          <w:szCs w:val="24"/>
        </w:rPr>
        <w:t>供应商的响应文件将作为合同的组成部分。</w:t>
      </w:r>
    </w:p>
    <w:p w14:paraId="723B3B38">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lang w:val="en-US" w:eastAsia="zh-CN"/>
        </w:rPr>
        <w:t>4.</w:t>
      </w:r>
      <w:r>
        <w:rPr>
          <w:rFonts w:hint="eastAsia" w:ascii="宋体" w:hAnsi="宋体"/>
          <w:color w:val="auto"/>
          <w:kern w:val="0"/>
          <w:sz w:val="24"/>
          <w:szCs w:val="24"/>
          <w:highlight w:val="none"/>
        </w:rPr>
        <w:t>市场比价保证金：无。</w:t>
      </w:r>
    </w:p>
    <w:p w14:paraId="5C4DA116">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bCs/>
          <w:color w:val="auto"/>
          <w:kern w:val="0"/>
          <w:sz w:val="24"/>
          <w:szCs w:val="24"/>
          <w:highlight w:val="none"/>
          <w:lang w:val="en-US" w:eastAsia="zh-CN"/>
        </w:rPr>
        <w:t>5.</w:t>
      </w:r>
      <w:r>
        <w:rPr>
          <w:rFonts w:hint="eastAsia" w:ascii="宋体" w:hAnsi="宋体"/>
          <w:bCs/>
          <w:color w:val="auto"/>
          <w:kern w:val="0"/>
          <w:sz w:val="24"/>
          <w:szCs w:val="24"/>
          <w:highlight w:val="none"/>
        </w:rPr>
        <w:t>响应文件如有以下情况，将</w:t>
      </w:r>
      <w:r>
        <w:rPr>
          <w:rFonts w:hint="eastAsia" w:ascii="宋体" w:hAnsi="宋体"/>
          <w:bCs/>
          <w:color w:val="auto"/>
          <w:kern w:val="0"/>
          <w:sz w:val="24"/>
          <w:szCs w:val="24"/>
          <w:highlight w:val="none"/>
          <w:lang w:eastAsia="zh-CN"/>
        </w:rPr>
        <w:t>作无效响应处理</w:t>
      </w:r>
      <w:r>
        <w:rPr>
          <w:rFonts w:hint="eastAsia" w:ascii="宋体" w:hAnsi="宋体"/>
          <w:color w:val="auto"/>
          <w:kern w:val="0"/>
          <w:sz w:val="24"/>
          <w:szCs w:val="24"/>
          <w:highlight w:val="none"/>
        </w:rPr>
        <w:t>。</w:t>
      </w:r>
    </w:p>
    <w:p w14:paraId="192BA6AC">
      <w:pPr>
        <w:widowControl/>
        <w:spacing w:line="460" w:lineRule="exact"/>
        <w:ind w:firstLine="480" w:firstLineChars="200"/>
        <w:rPr>
          <w:rFonts w:ascii="宋体" w:hAnsi="宋体"/>
          <w:color w:val="auto"/>
          <w:kern w:val="0"/>
          <w:sz w:val="24"/>
          <w:szCs w:val="24"/>
          <w:highlight w:val="none"/>
        </w:rPr>
      </w:pPr>
      <w:r>
        <w:rPr>
          <w:rFonts w:hint="eastAsia" w:ascii="宋体" w:hAnsi="宋体"/>
          <w:color w:val="auto"/>
          <w:sz w:val="24"/>
          <w:szCs w:val="24"/>
          <w:highlight w:val="none"/>
        </w:rPr>
        <w:t>（1）相应位置未加盖供应商单位公章的；</w:t>
      </w:r>
    </w:p>
    <w:p w14:paraId="1FD1FFD3">
      <w:pPr>
        <w:widowControl/>
        <w:shd w:val="clear" w:color="auto" w:fill="FFFFFF"/>
        <w:spacing w:line="460" w:lineRule="exact"/>
        <w:ind w:firstLine="480"/>
        <w:rPr>
          <w:rFonts w:ascii="宋体" w:hAnsi="宋体"/>
          <w:color w:val="auto"/>
          <w:sz w:val="24"/>
          <w:szCs w:val="24"/>
          <w:highlight w:val="none"/>
        </w:rPr>
      </w:pPr>
      <w:r>
        <w:rPr>
          <w:rFonts w:hint="eastAsia" w:ascii="宋体" w:hAnsi="宋体"/>
          <w:color w:val="auto"/>
          <w:kern w:val="0"/>
          <w:sz w:val="24"/>
          <w:szCs w:val="24"/>
          <w:highlight w:val="none"/>
        </w:rPr>
        <w:t>（2）</w:t>
      </w:r>
      <w:r>
        <w:rPr>
          <w:rFonts w:hint="eastAsia" w:ascii="宋体" w:hAnsi="宋体"/>
          <w:color w:val="auto"/>
          <w:sz w:val="24"/>
          <w:szCs w:val="24"/>
          <w:highlight w:val="none"/>
        </w:rPr>
        <w:t>相应位置法定代表人或授权委托人未签字或者盖章的；</w:t>
      </w:r>
    </w:p>
    <w:p w14:paraId="3B098412">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color w:val="auto"/>
          <w:kern w:val="0"/>
          <w:sz w:val="24"/>
          <w:szCs w:val="24"/>
          <w:highlight w:val="none"/>
        </w:rPr>
        <w:t>（3）所提供的货物清单缺少的或商务、技术参数以及相关要求不能得到真正满足的；</w:t>
      </w:r>
    </w:p>
    <w:p w14:paraId="7EE83BC6">
      <w:pPr>
        <w:widowControl/>
        <w:shd w:val="clear" w:color="auto" w:fill="FFFFFF"/>
        <w:spacing w:line="460" w:lineRule="exact"/>
        <w:ind w:firstLine="480"/>
        <w:rPr>
          <w:rFonts w:ascii="宋体" w:hAnsi="宋体" w:cs="Times New Roman"/>
          <w:color w:val="auto"/>
          <w:kern w:val="0"/>
          <w:sz w:val="24"/>
          <w:szCs w:val="24"/>
          <w:highlight w:val="none"/>
        </w:rPr>
      </w:pPr>
      <w:r>
        <w:rPr>
          <w:rFonts w:hint="eastAsia" w:ascii="宋体" w:hAnsi="宋体"/>
          <w:color w:val="auto"/>
          <w:kern w:val="0"/>
          <w:sz w:val="24"/>
          <w:szCs w:val="24"/>
          <w:highlight w:val="none"/>
        </w:rPr>
        <w:t>（4）没有按规定要求密封装订、未按要求格式填报、文件前后不符的、字迹模糊无法辨认的造成无法评审的；</w:t>
      </w:r>
    </w:p>
    <w:p w14:paraId="6C4A101F">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rPr>
        <w:t>（5）</w:t>
      </w:r>
      <w:r>
        <w:rPr>
          <w:rFonts w:hint="eastAsia" w:ascii="宋体" w:hAnsi="宋体"/>
          <w:color w:val="auto"/>
          <w:kern w:val="0"/>
          <w:sz w:val="24"/>
          <w:szCs w:val="24"/>
          <w:highlight w:val="none"/>
          <w:lang w:eastAsia="zh-CN"/>
        </w:rPr>
        <w:t>其他不</w:t>
      </w:r>
      <w:r>
        <w:rPr>
          <w:rFonts w:hint="eastAsia" w:ascii="宋体" w:hAnsi="宋体"/>
          <w:color w:val="auto"/>
          <w:kern w:val="0"/>
          <w:sz w:val="24"/>
          <w:szCs w:val="24"/>
          <w:highlight w:val="none"/>
        </w:rPr>
        <w:t>满足本市场比价文件要求和法定应当否决的情形。</w:t>
      </w:r>
    </w:p>
    <w:p w14:paraId="48A0D335">
      <w:pPr>
        <w:widowControl/>
        <w:shd w:val="clear" w:color="auto" w:fill="FFFFFF"/>
        <w:spacing w:line="460" w:lineRule="exact"/>
        <w:ind w:firstLine="480"/>
        <w:rPr>
          <w:rFonts w:ascii="宋体" w:hAnsi="宋体"/>
          <w:color w:val="auto"/>
          <w:kern w:val="0"/>
          <w:sz w:val="24"/>
          <w:szCs w:val="24"/>
          <w:highlight w:val="none"/>
        </w:rPr>
      </w:pPr>
      <w:r>
        <w:rPr>
          <w:rFonts w:hint="eastAsia" w:ascii="宋体" w:hAnsi="宋体"/>
          <w:color w:val="auto"/>
          <w:kern w:val="0"/>
          <w:sz w:val="24"/>
          <w:szCs w:val="24"/>
          <w:highlight w:val="none"/>
        </w:rPr>
        <w:t>二、服务技术标准和要求</w:t>
      </w:r>
    </w:p>
    <w:p w14:paraId="251353C4">
      <w:pPr>
        <w:pStyle w:val="4"/>
        <w:shd w:val="clear" w:color="auto" w:fill="FFFFFF"/>
        <w:spacing w:before="0" w:beforeAutospacing="0" w:after="0" w:afterAutospacing="0" w:line="460" w:lineRule="exact"/>
        <w:ind w:firstLine="480"/>
        <w:jc w:val="both"/>
        <w:rPr>
          <w:rFonts w:hint="eastAsia" w:ascii="宋体" w:hAnsi="宋体"/>
          <w:color w:val="auto"/>
          <w:kern w:val="0"/>
          <w:sz w:val="24"/>
          <w:szCs w:val="24"/>
          <w:highlight w:val="none"/>
        </w:rPr>
      </w:pPr>
      <w:r>
        <w:rPr>
          <w:rFonts w:hint="eastAsia" w:ascii="宋体" w:hAnsi="宋体"/>
          <w:color w:val="auto"/>
          <w:kern w:val="0"/>
          <w:sz w:val="24"/>
          <w:szCs w:val="24"/>
          <w:highlight w:val="none"/>
        </w:rPr>
        <w:t>以下要求是最低限度技术要求，并未对一切细节做出规定，也未充分引述有关标准和规范的条文，供应商应保证提供符合市场比价文件和有关最新工业标准的优质产品。</w:t>
      </w:r>
    </w:p>
    <w:p w14:paraId="313475EB">
      <w:pPr>
        <w:pStyle w:val="4"/>
        <w:shd w:val="clear" w:color="auto" w:fill="FFFFFF"/>
        <w:spacing w:before="0" w:beforeAutospacing="0" w:after="0" w:afterAutospacing="0" w:line="460" w:lineRule="exact"/>
        <w:ind w:firstLine="480"/>
        <w:jc w:val="both"/>
        <w:rPr>
          <w:rFonts w:hint="eastAsia" w:cs="宋体"/>
          <w:b/>
          <w:bCs/>
          <w:color w:val="000000"/>
          <w:shd w:val="clear" w:color="auto" w:fill="FFFFFF"/>
          <w:lang w:val="en-US" w:eastAsia="zh-CN"/>
        </w:rPr>
      </w:pPr>
      <w:r>
        <w:rPr>
          <w:rFonts w:hint="eastAsia" w:cs="宋体"/>
          <w:b/>
          <w:bCs/>
          <w:color w:val="000000"/>
          <w:shd w:val="clear" w:color="auto" w:fill="FFFFFF"/>
          <w:lang w:val="en-US" w:eastAsia="zh-CN"/>
        </w:rPr>
        <w:t>㈠主要内容</w:t>
      </w:r>
    </w:p>
    <w:p w14:paraId="519031A8">
      <w:pPr>
        <w:widowControl/>
        <w:shd w:val="clear" w:color="auto" w:fill="FFFFFF"/>
        <w:spacing w:line="460" w:lineRule="exact"/>
        <w:ind w:firstLine="480" w:firstLineChars="20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育秀</w:t>
      </w:r>
      <w:r>
        <w:rPr>
          <w:rFonts w:ascii="宋体" w:hAnsi="宋体" w:eastAsia="宋体" w:cs="宋体"/>
          <w:kern w:val="0"/>
          <w:sz w:val="24"/>
          <w:szCs w:val="24"/>
          <w:lang w:val="en-US" w:eastAsia="zh-CN" w:bidi="ar"/>
        </w:rPr>
        <w:t>校区</w:t>
      </w:r>
      <w:r>
        <w:rPr>
          <w:rFonts w:hint="eastAsia" w:ascii="宋体" w:hAnsi="宋体" w:eastAsia="宋体" w:cs="宋体"/>
          <w:kern w:val="0"/>
          <w:sz w:val="24"/>
          <w:szCs w:val="24"/>
          <w:lang w:val="en-US" w:eastAsia="zh-CN" w:bidi="ar"/>
        </w:rPr>
        <w:t>内宿舍区、办公区及教学区楼宇按甲方要求的位置安装灭火器架，放置灭火器。对老化的消防栓内水带进行更换。</w:t>
      </w:r>
    </w:p>
    <w:p w14:paraId="3ED2D99D">
      <w:pPr>
        <w:widowControl/>
        <w:shd w:val="clear" w:color="auto" w:fill="FFFFFF"/>
        <w:spacing w:line="460" w:lineRule="exact"/>
        <w:ind w:firstLine="482" w:firstLineChars="200"/>
        <w:rPr>
          <w:rFonts w:hint="eastAsia" w:ascii="宋体" w:hAnsi="宋体"/>
          <w:b/>
          <w:sz w:val="24"/>
        </w:rPr>
      </w:pPr>
      <w:r>
        <w:rPr>
          <w:rFonts w:hint="eastAsia" w:ascii="宋体" w:hAnsi="宋体"/>
          <w:b/>
          <w:sz w:val="24"/>
          <w:lang w:val="en-US" w:eastAsia="zh-CN"/>
        </w:rPr>
        <w:t>㈡</w:t>
      </w:r>
      <w:r>
        <w:rPr>
          <w:rFonts w:hint="eastAsia" w:ascii="宋体" w:hAnsi="宋体"/>
          <w:b/>
          <w:sz w:val="24"/>
        </w:rPr>
        <w:t>采购需求：</w:t>
      </w:r>
    </w:p>
    <w:tbl>
      <w:tblPr>
        <w:tblStyle w:val="5"/>
        <w:tblW w:w="8377" w:type="dxa"/>
        <w:tblInd w:w="0" w:type="dxa"/>
        <w:tblLayout w:type="autofit"/>
        <w:tblCellMar>
          <w:top w:w="0" w:type="dxa"/>
          <w:left w:w="108" w:type="dxa"/>
          <w:bottom w:w="0" w:type="dxa"/>
          <w:right w:w="108" w:type="dxa"/>
        </w:tblCellMar>
      </w:tblPr>
      <w:tblGrid>
        <w:gridCol w:w="508"/>
        <w:gridCol w:w="2185"/>
        <w:gridCol w:w="4165"/>
        <w:gridCol w:w="663"/>
        <w:gridCol w:w="856"/>
      </w:tblGrid>
      <w:tr w14:paraId="50E7304C">
        <w:trPr>
          <w:trHeight w:val="654" w:hRule="atLeast"/>
        </w:trPr>
        <w:tc>
          <w:tcPr>
            <w:tcW w:w="0" w:type="auto"/>
            <w:tcBorders>
              <w:top w:val="single" w:color="auto" w:sz="4" w:space="0"/>
              <w:left w:val="single" w:color="auto" w:sz="4" w:space="0"/>
              <w:bottom w:val="single" w:color="auto" w:sz="4" w:space="0"/>
              <w:right w:val="single" w:color="auto" w:sz="4" w:space="0"/>
            </w:tcBorders>
            <w:vAlign w:val="center"/>
          </w:tcPr>
          <w:p w14:paraId="62C5CC71">
            <w:pPr>
              <w:jc w:val="center"/>
              <w:rPr>
                <w:rFonts w:ascii="宋体" w:hAnsi="宋体"/>
              </w:rPr>
            </w:pPr>
            <w:r>
              <w:rPr>
                <w:rFonts w:hint="eastAsia" w:ascii="宋体" w:hAnsi="宋体"/>
              </w:rPr>
              <w:t>序号</w:t>
            </w:r>
          </w:p>
        </w:tc>
        <w:tc>
          <w:tcPr>
            <w:tcW w:w="2185" w:type="dxa"/>
            <w:tcBorders>
              <w:top w:val="single" w:color="auto" w:sz="4" w:space="0"/>
              <w:left w:val="single" w:color="auto" w:sz="4" w:space="0"/>
              <w:bottom w:val="single" w:color="auto" w:sz="4" w:space="0"/>
              <w:right w:val="single" w:color="auto" w:sz="4" w:space="0"/>
            </w:tcBorders>
            <w:vAlign w:val="center"/>
          </w:tcPr>
          <w:p w14:paraId="6C1A8164">
            <w:pPr>
              <w:jc w:val="center"/>
              <w:rPr>
                <w:rFonts w:ascii="宋体" w:hAnsi="宋体"/>
              </w:rPr>
            </w:pPr>
            <w:r>
              <w:rPr>
                <w:rFonts w:hint="eastAsia" w:ascii="宋体" w:hAnsi="宋体"/>
              </w:rPr>
              <w:t>名称</w:t>
            </w:r>
          </w:p>
        </w:tc>
        <w:tc>
          <w:tcPr>
            <w:tcW w:w="4165" w:type="dxa"/>
            <w:tcBorders>
              <w:top w:val="single" w:color="auto" w:sz="4" w:space="0"/>
              <w:left w:val="nil"/>
              <w:bottom w:val="single" w:color="auto" w:sz="4" w:space="0"/>
              <w:right w:val="single" w:color="auto" w:sz="4" w:space="0"/>
            </w:tcBorders>
            <w:vAlign w:val="center"/>
          </w:tcPr>
          <w:p w14:paraId="57367308">
            <w:pPr>
              <w:jc w:val="center"/>
              <w:rPr>
                <w:rFonts w:ascii="宋体" w:hAnsi="宋体"/>
              </w:rPr>
            </w:pPr>
            <w:r>
              <w:rPr>
                <w:rFonts w:hint="eastAsia" w:ascii="宋体" w:hAnsi="宋体"/>
                <w:bCs/>
              </w:rPr>
              <w:t>技术参数</w:t>
            </w:r>
          </w:p>
        </w:tc>
        <w:tc>
          <w:tcPr>
            <w:tcW w:w="663" w:type="dxa"/>
            <w:tcBorders>
              <w:top w:val="single" w:color="auto" w:sz="4" w:space="0"/>
              <w:left w:val="single" w:color="auto" w:sz="4" w:space="0"/>
              <w:bottom w:val="single" w:color="auto" w:sz="4" w:space="0"/>
              <w:right w:val="single" w:color="auto" w:sz="4" w:space="0"/>
            </w:tcBorders>
            <w:vAlign w:val="center"/>
          </w:tcPr>
          <w:p w14:paraId="361AF3C2">
            <w:pPr>
              <w:jc w:val="center"/>
              <w:rPr>
                <w:rFonts w:ascii="宋体" w:hAnsi="宋体"/>
              </w:rPr>
            </w:pPr>
            <w:r>
              <w:rPr>
                <w:rFonts w:hint="eastAsia" w:ascii="宋体" w:hAnsi="宋体"/>
                <w:bCs/>
              </w:rPr>
              <w:t>数量</w:t>
            </w:r>
          </w:p>
        </w:tc>
        <w:tc>
          <w:tcPr>
            <w:tcW w:w="856" w:type="dxa"/>
            <w:tcBorders>
              <w:top w:val="single" w:color="auto" w:sz="4" w:space="0"/>
              <w:left w:val="single" w:color="auto" w:sz="4" w:space="0"/>
              <w:bottom w:val="single" w:color="auto" w:sz="4" w:space="0"/>
              <w:right w:val="single" w:color="auto" w:sz="4" w:space="0"/>
            </w:tcBorders>
            <w:vAlign w:val="center"/>
          </w:tcPr>
          <w:p w14:paraId="0CA6C085">
            <w:pPr>
              <w:jc w:val="center"/>
              <w:rPr>
                <w:rFonts w:ascii="宋体" w:hAnsi="宋体"/>
              </w:rPr>
            </w:pPr>
            <w:r>
              <w:rPr>
                <w:rFonts w:hint="eastAsia" w:ascii="宋体" w:hAnsi="宋体"/>
              </w:rPr>
              <w:t>单位</w:t>
            </w:r>
          </w:p>
        </w:tc>
      </w:tr>
      <w:tr w14:paraId="07C0910D">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0B05F80E">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185" w:type="dxa"/>
            <w:tcBorders>
              <w:top w:val="single" w:color="auto" w:sz="4" w:space="0"/>
              <w:left w:val="single" w:color="auto" w:sz="4" w:space="0"/>
              <w:bottom w:val="single" w:color="auto" w:sz="4" w:space="0"/>
              <w:right w:val="single" w:color="auto" w:sz="4" w:space="0"/>
            </w:tcBorders>
            <w:vAlign w:val="center"/>
          </w:tcPr>
          <w:p w14:paraId="003F975B">
            <w:pPr>
              <w:jc w:val="center"/>
              <w:rPr>
                <w:rFonts w:ascii="宋体" w:hAnsi="宋体"/>
              </w:rPr>
            </w:pPr>
            <w:r>
              <w:rPr>
                <w:rFonts w:hint="eastAsia" w:ascii="宋体" w:hAnsi="宋体" w:cs="宋体"/>
                <w:lang w:bidi="ar"/>
              </w:rPr>
              <w:t>干粉灭火器</w:t>
            </w:r>
          </w:p>
        </w:tc>
        <w:tc>
          <w:tcPr>
            <w:tcW w:w="4165" w:type="dxa"/>
            <w:tcBorders>
              <w:top w:val="single" w:color="auto" w:sz="4" w:space="0"/>
              <w:left w:val="nil"/>
              <w:bottom w:val="single" w:color="auto" w:sz="4" w:space="0"/>
              <w:right w:val="single" w:color="auto" w:sz="4" w:space="0"/>
            </w:tcBorders>
            <w:vAlign w:val="center"/>
          </w:tcPr>
          <w:p w14:paraId="37A0DD30">
            <w:pPr>
              <w:rPr>
                <w:rFonts w:ascii="宋体" w:hAnsi="宋体"/>
              </w:rPr>
            </w:pPr>
            <w:r>
              <w:rPr>
                <w:rFonts w:hint="eastAsia" w:ascii="宋体" w:hAnsi="宋体"/>
                <w:sz w:val="24"/>
              </w:rPr>
              <w:t>MFZ\ABC4,</w:t>
            </w:r>
            <w:r>
              <w:rPr>
                <w:rFonts w:ascii="宋体" w:hAnsi="宋体" w:eastAsia="宋体" w:cs="宋体"/>
                <w:sz w:val="24"/>
                <w:szCs w:val="24"/>
              </w:rPr>
              <w:t>GB 4351-2023</w:t>
            </w:r>
          </w:p>
        </w:tc>
        <w:tc>
          <w:tcPr>
            <w:tcW w:w="663" w:type="dxa"/>
            <w:tcBorders>
              <w:top w:val="single" w:color="auto" w:sz="4" w:space="0"/>
              <w:left w:val="single" w:color="auto" w:sz="4" w:space="0"/>
              <w:bottom w:val="single" w:color="auto" w:sz="4" w:space="0"/>
              <w:right w:val="single" w:color="auto" w:sz="4" w:space="0"/>
            </w:tcBorders>
            <w:vAlign w:val="center"/>
          </w:tcPr>
          <w:p w14:paraId="41251409">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200</w:t>
            </w:r>
          </w:p>
        </w:tc>
        <w:tc>
          <w:tcPr>
            <w:tcW w:w="856" w:type="dxa"/>
            <w:tcBorders>
              <w:top w:val="single" w:color="auto" w:sz="4" w:space="0"/>
              <w:left w:val="single" w:color="auto" w:sz="4" w:space="0"/>
              <w:bottom w:val="single" w:color="auto" w:sz="4" w:space="0"/>
              <w:right w:val="single" w:color="auto" w:sz="4" w:space="0"/>
            </w:tcBorders>
            <w:vAlign w:val="center"/>
          </w:tcPr>
          <w:p w14:paraId="14A81C92">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1瓶</w:t>
            </w:r>
          </w:p>
        </w:tc>
      </w:tr>
      <w:tr w14:paraId="52896A38">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59A3BDCC">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2</w:t>
            </w:r>
          </w:p>
        </w:tc>
        <w:tc>
          <w:tcPr>
            <w:tcW w:w="2185" w:type="dxa"/>
            <w:tcBorders>
              <w:top w:val="single" w:color="auto" w:sz="4" w:space="0"/>
              <w:left w:val="single" w:color="auto" w:sz="4" w:space="0"/>
              <w:bottom w:val="single" w:color="auto" w:sz="4" w:space="0"/>
              <w:right w:val="single" w:color="auto" w:sz="4" w:space="0"/>
            </w:tcBorders>
            <w:vAlign w:val="center"/>
          </w:tcPr>
          <w:p w14:paraId="23A310DB">
            <w:pPr>
              <w:jc w:val="center"/>
              <w:rPr>
                <w:rFonts w:ascii="宋体" w:hAnsi="宋体"/>
              </w:rPr>
            </w:pPr>
            <w:r>
              <w:rPr>
                <w:rFonts w:hint="eastAsia" w:ascii="宋体" w:hAnsi="宋体" w:cs="宋体"/>
                <w:lang w:bidi="ar"/>
              </w:rPr>
              <w:t>二氧化碳灭火器</w:t>
            </w:r>
          </w:p>
        </w:tc>
        <w:tc>
          <w:tcPr>
            <w:tcW w:w="4165" w:type="dxa"/>
            <w:tcBorders>
              <w:top w:val="single" w:color="auto" w:sz="4" w:space="0"/>
              <w:left w:val="nil"/>
              <w:bottom w:val="single" w:color="auto" w:sz="4" w:space="0"/>
              <w:right w:val="single" w:color="auto" w:sz="4" w:space="0"/>
            </w:tcBorders>
            <w:vAlign w:val="center"/>
          </w:tcPr>
          <w:p w14:paraId="07FCBD17">
            <w:pPr>
              <w:rPr>
                <w:rFonts w:ascii="宋体" w:hAnsi="宋体"/>
              </w:rPr>
            </w:pPr>
            <w:r>
              <w:rPr>
                <w:rFonts w:ascii="宋体" w:hAnsi="宋体" w:eastAsia="宋体" w:cs="宋体"/>
                <w:sz w:val="24"/>
                <w:szCs w:val="24"/>
              </w:rPr>
              <w:t>MT/2</w:t>
            </w:r>
            <w:r>
              <w:rPr>
                <w:rFonts w:hint="eastAsia" w:ascii="宋体" w:hAnsi="宋体" w:eastAsia="宋体" w:cs="宋体"/>
                <w:sz w:val="24"/>
                <w:szCs w:val="24"/>
                <w:lang w:eastAsia="zh-CN"/>
              </w:rPr>
              <w:t xml:space="preserve">, </w:t>
            </w:r>
            <w:r>
              <w:rPr>
                <w:rFonts w:ascii="宋体" w:hAnsi="宋体" w:eastAsia="宋体" w:cs="宋体"/>
                <w:sz w:val="24"/>
                <w:szCs w:val="24"/>
              </w:rPr>
              <w:t>GB 4351-2023</w:t>
            </w:r>
          </w:p>
        </w:tc>
        <w:tc>
          <w:tcPr>
            <w:tcW w:w="663" w:type="dxa"/>
            <w:tcBorders>
              <w:top w:val="single" w:color="auto" w:sz="4" w:space="0"/>
              <w:left w:val="single" w:color="auto" w:sz="4" w:space="0"/>
              <w:bottom w:val="single" w:color="auto" w:sz="4" w:space="0"/>
              <w:right w:val="single" w:color="auto" w:sz="4" w:space="0"/>
            </w:tcBorders>
            <w:vAlign w:val="center"/>
          </w:tcPr>
          <w:p w14:paraId="64B94DB5">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40</w:t>
            </w:r>
          </w:p>
        </w:tc>
        <w:tc>
          <w:tcPr>
            <w:tcW w:w="856" w:type="dxa"/>
            <w:tcBorders>
              <w:top w:val="single" w:color="auto" w:sz="4" w:space="0"/>
              <w:left w:val="single" w:color="auto" w:sz="4" w:space="0"/>
              <w:bottom w:val="single" w:color="auto" w:sz="4" w:space="0"/>
              <w:right w:val="single" w:color="auto" w:sz="4" w:space="0"/>
            </w:tcBorders>
            <w:vAlign w:val="center"/>
          </w:tcPr>
          <w:p w14:paraId="0F4F33CD">
            <w:pPr>
              <w:jc w:val="center"/>
              <w:rPr>
                <w:rFonts w:asciiTheme="minorEastAsia" w:hAnsiTheme="minorEastAsia" w:eastAsiaTheme="minorEastAsia"/>
              </w:rPr>
            </w:pPr>
            <w:r>
              <w:rPr>
                <w:rFonts w:hint="eastAsia" w:asciiTheme="minorEastAsia" w:hAnsiTheme="minorEastAsia"/>
                <w:lang w:val="en-US" w:eastAsia="zh-CN"/>
              </w:rPr>
              <w:t>1瓶</w:t>
            </w:r>
          </w:p>
        </w:tc>
      </w:tr>
      <w:tr w14:paraId="1F4C561D">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71BF017F">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2185" w:type="dxa"/>
            <w:tcBorders>
              <w:top w:val="single" w:color="auto" w:sz="4" w:space="0"/>
              <w:left w:val="single" w:color="auto" w:sz="4" w:space="0"/>
              <w:bottom w:val="single" w:color="auto" w:sz="4" w:space="0"/>
              <w:right w:val="single" w:color="auto" w:sz="4" w:space="0"/>
            </w:tcBorders>
            <w:vAlign w:val="center"/>
          </w:tcPr>
          <w:p w14:paraId="63F796C4">
            <w:pPr>
              <w:jc w:val="center"/>
              <w:rPr>
                <w:rFonts w:ascii="宋体" w:hAnsi="宋体"/>
              </w:rPr>
            </w:pPr>
            <w:r>
              <w:rPr>
                <w:rFonts w:hint="eastAsia" w:ascii="宋体" w:hAnsi="宋体" w:cs="宋体"/>
                <w:lang w:bidi="ar"/>
              </w:rPr>
              <w:t>灭火器挂架</w:t>
            </w:r>
          </w:p>
        </w:tc>
        <w:tc>
          <w:tcPr>
            <w:tcW w:w="4165" w:type="dxa"/>
            <w:tcBorders>
              <w:top w:val="single" w:color="auto" w:sz="4" w:space="0"/>
              <w:left w:val="nil"/>
              <w:bottom w:val="single" w:color="auto" w:sz="4" w:space="0"/>
              <w:right w:val="single" w:color="auto" w:sz="4" w:space="0"/>
            </w:tcBorders>
            <w:vAlign w:val="center"/>
          </w:tcPr>
          <w:p w14:paraId="45EAE83B">
            <w:pPr>
              <w:rPr>
                <w:rFonts w:ascii="宋体" w:hAnsi="宋体"/>
              </w:rPr>
            </w:pPr>
            <w:r>
              <w:rPr>
                <w:rFonts w:hint="eastAsia" w:ascii="宋体" w:hAnsi="宋体"/>
                <w:sz w:val="24"/>
              </w:rPr>
              <w:t>适配 2KG、3KG、4KG 灭火器</w:t>
            </w:r>
          </w:p>
        </w:tc>
        <w:tc>
          <w:tcPr>
            <w:tcW w:w="663" w:type="dxa"/>
            <w:tcBorders>
              <w:top w:val="single" w:color="auto" w:sz="4" w:space="0"/>
              <w:left w:val="single" w:color="auto" w:sz="4" w:space="0"/>
              <w:bottom w:val="single" w:color="auto" w:sz="4" w:space="0"/>
              <w:right w:val="single" w:color="auto" w:sz="4" w:space="0"/>
            </w:tcBorders>
            <w:vAlign w:val="center"/>
          </w:tcPr>
          <w:p w14:paraId="5F00FD78">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120</w:t>
            </w:r>
          </w:p>
        </w:tc>
        <w:tc>
          <w:tcPr>
            <w:tcW w:w="856" w:type="dxa"/>
            <w:tcBorders>
              <w:top w:val="single" w:color="auto" w:sz="4" w:space="0"/>
              <w:left w:val="single" w:color="auto" w:sz="4" w:space="0"/>
              <w:bottom w:val="single" w:color="auto" w:sz="4" w:space="0"/>
              <w:right w:val="single" w:color="auto" w:sz="4" w:space="0"/>
            </w:tcBorders>
            <w:vAlign w:val="center"/>
          </w:tcPr>
          <w:p w14:paraId="3C331FD5">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1个</w:t>
            </w:r>
          </w:p>
        </w:tc>
      </w:tr>
      <w:tr w14:paraId="0B5C185C">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790D1CDE">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2185" w:type="dxa"/>
            <w:tcBorders>
              <w:top w:val="single" w:color="auto" w:sz="4" w:space="0"/>
              <w:left w:val="single" w:color="auto" w:sz="4" w:space="0"/>
              <w:bottom w:val="single" w:color="auto" w:sz="4" w:space="0"/>
              <w:right w:val="single" w:color="auto" w:sz="4" w:space="0"/>
            </w:tcBorders>
            <w:vAlign w:val="center"/>
          </w:tcPr>
          <w:p w14:paraId="7081FB9A">
            <w:pPr>
              <w:jc w:val="center"/>
              <w:rPr>
                <w:rFonts w:ascii="宋体" w:hAnsi="宋体"/>
              </w:rPr>
            </w:pPr>
            <w:r>
              <w:rPr>
                <w:rFonts w:hint="eastAsia" w:ascii="宋体" w:hAnsi="宋体" w:cs="宋体"/>
                <w:lang w:bidi="ar"/>
              </w:rPr>
              <w:t>消防水枪</w:t>
            </w:r>
          </w:p>
        </w:tc>
        <w:tc>
          <w:tcPr>
            <w:tcW w:w="4165" w:type="dxa"/>
            <w:tcBorders>
              <w:top w:val="single" w:color="auto" w:sz="4" w:space="0"/>
              <w:left w:val="nil"/>
              <w:bottom w:val="single" w:color="auto" w:sz="4" w:space="0"/>
              <w:right w:val="single" w:color="auto" w:sz="4" w:space="0"/>
            </w:tcBorders>
            <w:vAlign w:val="center"/>
          </w:tcPr>
          <w:p w14:paraId="75C2BB68">
            <w:pPr>
              <w:rPr>
                <w:rFonts w:ascii="宋体" w:hAnsi="宋体"/>
              </w:rPr>
            </w:pPr>
            <w:r>
              <w:rPr>
                <w:rFonts w:ascii="宋体" w:hAnsi="宋体" w:eastAsia="宋体" w:cs="宋体"/>
                <w:sz w:val="24"/>
                <w:szCs w:val="24"/>
              </w:rPr>
              <w:t>DN65</w:t>
            </w:r>
            <w:r>
              <w:rPr>
                <w:rFonts w:hint="eastAsia" w:ascii="宋体" w:hAnsi="宋体" w:eastAsia="宋体" w:cs="宋体"/>
                <w:sz w:val="24"/>
                <w:szCs w:val="24"/>
                <w:lang w:eastAsia="zh-CN"/>
              </w:rPr>
              <w:t xml:space="preserve">, </w:t>
            </w:r>
            <w:r>
              <w:rPr>
                <w:rFonts w:ascii="宋体" w:hAnsi="宋体" w:eastAsia="宋体" w:cs="宋体"/>
                <w:sz w:val="24"/>
                <w:szCs w:val="24"/>
              </w:rPr>
              <w:t>GB</w:t>
            </w:r>
            <w:r>
              <w:rPr>
                <w:rFonts w:hint="eastAsia" w:ascii="宋体" w:hAnsi="宋体" w:eastAsia="宋体" w:cs="宋体"/>
                <w:sz w:val="24"/>
                <w:szCs w:val="24"/>
                <w:lang w:eastAsia="zh-CN"/>
              </w:rPr>
              <w:t>,</w:t>
            </w:r>
            <w:r>
              <w:rPr>
                <w:rFonts w:ascii="宋体" w:hAnsi="宋体" w:eastAsia="宋体" w:cs="宋体"/>
                <w:sz w:val="24"/>
                <w:szCs w:val="24"/>
              </w:rPr>
              <w:t>8181-2025</w:t>
            </w:r>
          </w:p>
        </w:tc>
        <w:tc>
          <w:tcPr>
            <w:tcW w:w="663" w:type="dxa"/>
            <w:tcBorders>
              <w:top w:val="single" w:color="auto" w:sz="4" w:space="0"/>
              <w:left w:val="single" w:color="auto" w:sz="4" w:space="0"/>
              <w:bottom w:val="single" w:color="auto" w:sz="4" w:space="0"/>
              <w:right w:val="single" w:color="auto" w:sz="4" w:space="0"/>
            </w:tcBorders>
            <w:vAlign w:val="center"/>
          </w:tcPr>
          <w:p w14:paraId="11F0E3F0">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16</w:t>
            </w:r>
          </w:p>
        </w:tc>
        <w:tc>
          <w:tcPr>
            <w:tcW w:w="856" w:type="dxa"/>
            <w:tcBorders>
              <w:top w:val="single" w:color="auto" w:sz="4" w:space="0"/>
              <w:left w:val="single" w:color="auto" w:sz="4" w:space="0"/>
              <w:bottom w:val="single" w:color="auto" w:sz="4" w:space="0"/>
              <w:right w:val="single" w:color="auto" w:sz="4" w:space="0"/>
            </w:tcBorders>
            <w:vAlign w:val="center"/>
          </w:tcPr>
          <w:p w14:paraId="4E8440B7">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1支</w:t>
            </w:r>
          </w:p>
        </w:tc>
      </w:tr>
      <w:tr w14:paraId="455CA35F">
        <w:tblPrEx>
          <w:tblCellMar>
            <w:top w:w="0" w:type="dxa"/>
            <w:left w:w="108" w:type="dxa"/>
            <w:bottom w:w="0" w:type="dxa"/>
            <w:right w:w="108" w:type="dxa"/>
          </w:tblCellMar>
        </w:tblPrEx>
        <w:trPr>
          <w:trHeight w:val="587" w:hRule="atLeast"/>
        </w:trPr>
        <w:tc>
          <w:tcPr>
            <w:tcW w:w="0" w:type="auto"/>
            <w:tcBorders>
              <w:top w:val="single" w:color="auto" w:sz="4" w:space="0"/>
              <w:left w:val="single" w:color="auto" w:sz="4" w:space="0"/>
              <w:bottom w:val="single" w:color="auto" w:sz="4" w:space="0"/>
              <w:right w:val="single" w:color="auto" w:sz="4" w:space="0"/>
            </w:tcBorders>
            <w:vAlign w:val="center"/>
          </w:tcPr>
          <w:p w14:paraId="48AC621C">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2185" w:type="dxa"/>
            <w:tcBorders>
              <w:top w:val="single" w:color="auto" w:sz="4" w:space="0"/>
              <w:left w:val="single" w:color="auto" w:sz="4" w:space="0"/>
              <w:bottom w:val="single" w:color="auto" w:sz="4" w:space="0"/>
              <w:right w:val="single" w:color="auto" w:sz="4" w:space="0"/>
            </w:tcBorders>
            <w:vAlign w:val="center"/>
          </w:tcPr>
          <w:p w14:paraId="534B25D6">
            <w:pPr>
              <w:jc w:val="center"/>
              <w:rPr>
                <w:rFonts w:hint="eastAsia" w:ascii="宋体" w:hAnsi="宋体" w:cs="宋体"/>
                <w:lang w:bidi="ar"/>
              </w:rPr>
            </w:pPr>
            <w:r>
              <w:rPr>
                <w:rFonts w:hint="eastAsia" w:ascii="宋体" w:hAnsi="宋体" w:cs="宋体"/>
                <w:lang w:bidi="ar"/>
              </w:rPr>
              <w:t>消防水带</w:t>
            </w:r>
          </w:p>
        </w:tc>
        <w:tc>
          <w:tcPr>
            <w:tcW w:w="4165" w:type="dxa"/>
            <w:tcBorders>
              <w:top w:val="single" w:color="auto" w:sz="4" w:space="0"/>
              <w:left w:val="nil"/>
              <w:bottom w:val="single" w:color="auto" w:sz="4" w:space="0"/>
              <w:right w:val="single" w:color="auto" w:sz="4" w:space="0"/>
            </w:tcBorders>
            <w:vAlign w:val="center"/>
          </w:tcPr>
          <w:p w14:paraId="0FCFE2A6">
            <w:pPr>
              <w:rPr>
                <w:rFonts w:ascii="宋体" w:hAnsi="宋体"/>
              </w:rPr>
            </w:pPr>
            <w:r>
              <w:rPr>
                <w:rFonts w:hint="eastAsia" w:ascii="宋体" w:hAnsi="宋体"/>
                <w:sz w:val="24"/>
              </w:rPr>
              <w:t>10-65-25</w:t>
            </w:r>
            <w:r>
              <w:rPr>
                <w:rFonts w:hint="eastAsia" w:ascii="宋体" w:hAnsi="宋体"/>
                <w:sz w:val="24"/>
                <w:lang w:eastAsia="zh-CN"/>
              </w:rPr>
              <w:t xml:space="preserve">, </w:t>
            </w:r>
            <w:r>
              <w:rPr>
                <w:rFonts w:hint="eastAsia" w:ascii="宋体" w:hAnsi="宋体"/>
                <w:sz w:val="24"/>
              </w:rPr>
              <w:t>GB6246-2011</w:t>
            </w:r>
          </w:p>
        </w:tc>
        <w:tc>
          <w:tcPr>
            <w:tcW w:w="663" w:type="dxa"/>
            <w:tcBorders>
              <w:top w:val="single" w:color="auto" w:sz="4" w:space="0"/>
              <w:left w:val="single" w:color="auto" w:sz="4" w:space="0"/>
              <w:bottom w:val="single" w:color="auto" w:sz="4" w:space="0"/>
              <w:right w:val="single" w:color="auto" w:sz="4" w:space="0"/>
            </w:tcBorders>
            <w:vAlign w:val="center"/>
          </w:tcPr>
          <w:p w14:paraId="29483171">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16</w:t>
            </w:r>
          </w:p>
        </w:tc>
        <w:tc>
          <w:tcPr>
            <w:tcW w:w="856" w:type="dxa"/>
            <w:tcBorders>
              <w:top w:val="single" w:color="auto" w:sz="4" w:space="0"/>
              <w:left w:val="single" w:color="auto" w:sz="4" w:space="0"/>
              <w:bottom w:val="single" w:color="auto" w:sz="4" w:space="0"/>
              <w:right w:val="single" w:color="auto" w:sz="4" w:space="0"/>
            </w:tcBorders>
            <w:vAlign w:val="center"/>
          </w:tcPr>
          <w:p w14:paraId="7965619D">
            <w:pPr>
              <w:jc w:val="center"/>
              <w:rPr>
                <w:rFonts w:hint="eastAsia" w:asciiTheme="minorEastAsia" w:hAnsiTheme="minorEastAsia" w:eastAsiaTheme="minorEastAsia"/>
                <w:lang w:val="en-US" w:eastAsia="zh-CN"/>
              </w:rPr>
            </w:pPr>
            <w:r>
              <w:rPr>
                <w:rFonts w:hint="eastAsia" w:asciiTheme="minorEastAsia" w:hAnsiTheme="minorEastAsia"/>
                <w:lang w:val="en-US" w:eastAsia="zh-CN"/>
              </w:rPr>
              <w:t>盘</w:t>
            </w:r>
          </w:p>
        </w:tc>
      </w:tr>
      <w:tr w14:paraId="3B71A21C">
        <w:tblPrEx>
          <w:tblCellMar>
            <w:top w:w="0" w:type="dxa"/>
            <w:left w:w="108" w:type="dxa"/>
            <w:bottom w:w="0" w:type="dxa"/>
            <w:right w:w="108" w:type="dxa"/>
          </w:tblCellMar>
        </w:tblPrEx>
        <w:trPr>
          <w:trHeight w:val="597" w:hRule="atLeast"/>
        </w:trPr>
        <w:tc>
          <w:tcPr>
            <w:tcW w:w="0" w:type="auto"/>
            <w:tcBorders>
              <w:top w:val="single" w:color="auto" w:sz="4" w:space="0"/>
              <w:left w:val="single" w:color="auto" w:sz="4" w:space="0"/>
              <w:bottom w:val="single" w:color="auto" w:sz="4" w:space="0"/>
              <w:right w:val="single" w:color="auto" w:sz="4" w:space="0"/>
            </w:tcBorders>
            <w:vAlign w:val="center"/>
          </w:tcPr>
          <w:p w14:paraId="18B7683C">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2185" w:type="dxa"/>
            <w:tcBorders>
              <w:top w:val="single" w:color="auto" w:sz="4" w:space="0"/>
              <w:left w:val="single" w:color="auto" w:sz="4" w:space="0"/>
              <w:bottom w:val="single" w:color="auto" w:sz="4" w:space="0"/>
              <w:right w:val="single" w:color="auto" w:sz="4" w:space="0"/>
            </w:tcBorders>
            <w:vAlign w:val="center"/>
          </w:tcPr>
          <w:p w14:paraId="2D6EA4CE">
            <w:pPr>
              <w:jc w:val="center"/>
              <w:rPr>
                <w:rFonts w:hint="default" w:ascii="宋体" w:hAnsi="宋体" w:cs="宋体" w:eastAsiaTheme="minorEastAsia"/>
                <w:b/>
                <w:bCs/>
                <w:lang w:val="en-US" w:eastAsia="zh-CN" w:bidi="ar"/>
              </w:rPr>
            </w:pPr>
            <w:r>
              <w:rPr>
                <w:rFonts w:hint="eastAsia" w:ascii="宋体" w:hAnsi="宋体" w:cs="宋体"/>
                <w:b/>
                <w:bCs/>
                <w:lang w:val="en-US" w:eastAsia="zh-CN" w:bidi="ar"/>
              </w:rPr>
              <w:t>备  注</w:t>
            </w:r>
          </w:p>
        </w:tc>
        <w:tc>
          <w:tcPr>
            <w:tcW w:w="5684" w:type="dxa"/>
            <w:gridSpan w:val="3"/>
            <w:tcBorders>
              <w:top w:val="single" w:color="auto" w:sz="4" w:space="0"/>
              <w:left w:val="nil"/>
              <w:bottom w:val="single" w:color="auto" w:sz="4" w:space="0"/>
              <w:right w:val="single" w:color="auto" w:sz="4" w:space="0"/>
            </w:tcBorders>
            <w:vAlign w:val="center"/>
          </w:tcPr>
          <w:p w14:paraId="631579AF">
            <w:pPr>
              <w:jc w:val="center"/>
              <w:rPr>
                <w:rFonts w:hint="default" w:asciiTheme="minorEastAsia" w:hAnsiTheme="minorEastAsia"/>
                <w:b/>
                <w:bCs/>
                <w:lang w:val="en-US" w:eastAsia="zh-CN"/>
              </w:rPr>
            </w:pPr>
            <w:r>
              <w:rPr>
                <w:rFonts w:hint="eastAsia" w:ascii="宋体" w:hAnsi="宋体" w:cs="宋体"/>
                <w:b/>
                <w:bCs/>
                <w:lang w:bidi="ar"/>
              </w:rPr>
              <w:t>灭火器</w:t>
            </w:r>
            <w:r>
              <w:rPr>
                <w:rFonts w:hint="eastAsia" w:asciiTheme="minorEastAsia" w:hAnsiTheme="minorEastAsia"/>
                <w:b/>
                <w:bCs/>
                <w:lang w:val="en-US" w:eastAsia="zh-CN"/>
              </w:rPr>
              <w:t>生产日期须为近三个月以内</w:t>
            </w:r>
          </w:p>
        </w:tc>
      </w:tr>
    </w:tbl>
    <w:p w14:paraId="519E70CB">
      <w:pPr>
        <w:numPr>
          <w:ilvl w:val="0"/>
          <w:numId w:val="0"/>
        </w:numPr>
        <w:spacing w:before="156" w:beforeLines="50" w:line="360" w:lineRule="auto"/>
        <w:ind w:firstLine="480" w:firstLineChars="200"/>
        <w:rPr>
          <w:rFonts w:hint="eastAsia" w:ascii="宋体" w:hAnsi="宋体" w:cs="宋体"/>
          <w:kern w:val="0"/>
          <w:sz w:val="24"/>
          <w:szCs w:val="24"/>
        </w:rPr>
      </w:pPr>
      <w:r>
        <w:rPr>
          <w:rFonts w:hint="eastAsia" w:ascii="宋体" w:hAnsi="宋体" w:cs="宋体"/>
          <w:sz w:val="24"/>
        </w:rPr>
        <w:t>投标</w:t>
      </w:r>
      <w:r>
        <w:rPr>
          <w:rFonts w:hint="eastAsia" w:ascii="宋体" w:hAnsi="宋体" w:cs="宋体"/>
          <w:sz w:val="24"/>
          <w:lang w:eastAsia="zh-CN"/>
        </w:rPr>
        <w:t>单位</w:t>
      </w:r>
      <w:r>
        <w:rPr>
          <w:rFonts w:hint="eastAsia" w:ascii="宋体" w:hAnsi="宋体" w:cs="宋体"/>
          <w:sz w:val="24"/>
        </w:rPr>
        <w:t>在中标后需</w:t>
      </w:r>
      <w:r>
        <w:rPr>
          <w:rFonts w:hint="eastAsia" w:ascii="宋体" w:hAnsi="宋体" w:eastAsia="宋体" w:cs="宋体"/>
          <w:color w:val="000000"/>
          <w:kern w:val="0"/>
          <w:sz w:val="24"/>
          <w:szCs w:val="24"/>
          <w:lang w:bidi="ar"/>
        </w:rPr>
        <w:t>提供</w:t>
      </w:r>
      <w:r>
        <w:rPr>
          <w:rFonts w:ascii="宋体" w:hAnsi="宋体" w:eastAsia="宋体" w:cs="宋体"/>
          <w:sz w:val="24"/>
          <w:szCs w:val="24"/>
        </w:rPr>
        <w:t>产品合格证、3C 认证证书、检验报告等全套报验资料</w:t>
      </w:r>
      <w:r>
        <w:rPr>
          <w:rFonts w:hint="eastAsia" w:ascii="宋体" w:hAnsi="宋体" w:cs="宋体"/>
          <w:kern w:val="0"/>
          <w:sz w:val="24"/>
          <w:szCs w:val="24"/>
        </w:rPr>
        <w:t>，所有产品需提供相应的报验报检手续并保证能通过铜陵市消防部门验收。</w:t>
      </w:r>
    </w:p>
    <w:p w14:paraId="43613F3E">
      <w:pPr>
        <w:widowControl/>
        <w:shd w:val="clear" w:color="auto" w:fill="FFFFFF"/>
        <w:spacing w:line="460" w:lineRule="exact"/>
        <w:ind w:firstLine="480"/>
        <w:jc w:val="left"/>
        <w:rPr>
          <w:rFonts w:ascii="宋体" w:hAnsi="宋体" w:cs="Times New Roman"/>
          <w:kern w:val="0"/>
          <w:sz w:val="24"/>
          <w:szCs w:val="24"/>
          <w:highlight w:val="none"/>
        </w:rPr>
      </w:pPr>
      <w:r>
        <w:rPr>
          <w:rFonts w:hint="eastAsia" w:ascii="宋体" w:hAnsi="宋体"/>
          <w:kern w:val="0"/>
          <w:sz w:val="24"/>
          <w:szCs w:val="24"/>
          <w:highlight w:val="none"/>
        </w:rPr>
        <w:t>三、关于偏离</w:t>
      </w:r>
      <w:bookmarkStart w:id="4" w:name="_GoBack"/>
      <w:bookmarkEnd w:id="4"/>
    </w:p>
    <w:p w14:paraId="155B5E2E">
      <w:pPr>
        <w:widowControl/>
        <w:shd w:val="clear" w:color="auto" w:fill="FFFFFF"/>
        <w:spacing w:line="460" w:lineRule="exact"/>
        <w:ind w:firstLine="420"/>
        <w:jc w:val="left"/>
        <w:rPr>
          <w:rFonts w:ascii="宋体" w:hAnsi="宋体" w:cs="Times New Roman"/>
          <w:kern w:val="0"/>
          <w:sz w:val="24"/>
          <w:szCs w:val="24"/>
          <w:highlight w:val="none"/>
        </w:rPr>
      </w:pPr>
      <w:r>
        <w:rPr>
          <w:rFonts w:hint="eastAsia" w:ascii="宋体" w:hAnsi="宋体"/>
          <w:kern w:val="0"/>
          <w:sz w:val="24"/>
          <w:szCs w:val="24"/>
          <w:highlight w:val="none"/>
        </w:rPr>
        <w:t>（1）供应商响应文件中出现的偏离，分为实质性偏离和非实质性偏离。</w:t>
      </w:r>
    </w:p>
    <w:p w14:paraId="6805E7B8">
      <w:pPr>
        <w:widowControl/>
        <w:shd w:val="clear" w:color="auto" w:fill="FFFFFF"/>
        <w:spacing w:line="460" w:lineRule="exact"/>
        <w:ind w:firstLine="420"/>
        <w:jc w:val="left"/>
        <w:rPr>
          <w:rFonts w:ascii="宋体" w:hAnsi="宋体" w:cs="Times New Roman"/>
          <w:kern w:val="0"/>
          <w:sz w:val="24"/>
          <w:szCs w:val="24"/>
          <w:highlight w:val="none"/>
        </w:rPr>
      </w:pPr>
      <w:r>
        <w:rPr>
          <w:rFonts w:hint="eastAsia" w:ascii="宋体" w:hAnsi="宋体"/>
          <w:kern w:val="0"/>
          <w:sz w:val="24"/>
          <w:szCs w:val="24"/>
          <w:highlight w:val="none"/>
        </w:rPr>
        <w:t>（2）实质性偏离是指响应文件未能实质响应市场比价文件的要求，所供货物和服务在功能上无法达到市场比价文件规定的最低要求。非实质性偏离是指响应文件在实质上响应市场比价文件的要求，但在个别地方存在一些不规则、不一致、不完整的内容，或者所供货物和服务实质上能够满足所列技术需求达到的功能，只是因为采用了不同的技术而导致不能在参数中响应。</w:t>
      </w:r>
    </w:p>
    <w:p w14:paraId="38AD0E93">
      <w:pPr>
        <w:widowControl/>
        <w:shd w:val="clear" w:color="auto" w:fill="FFFFFF"/>
        <w:spacing w:line="460" w:lineRule="exact"/>
        <w:ind w:firstLine="420"/>
        <w:jc w:val="left"/>
        <w:rPr>
          <w:rFonts w:ascii="宋体" w:hAnsi="宋体" w:cs="Times New Roman"/>
          <w:kern w:val="0"/>
          <w:sz w:val="24"/>
          <w:szCs w:val="24"/>
          <w:highlight w:val="none"/>
        </w:rPr>
      </w:pPr>
      <w:r>
        <w:rPr>
          <w:rFonts w:hint="eastAsia" w:ascii="宋体" w:hAnsi="宋体"/>
          <w:kern w:val="0"/>
          <w:sz w:val="24"/>
          <w:szCs w:val="24"/>
          <w:highlight w:val="none"/>
        </w:rPr>
        <w:t>（3）出现实质性偏离的将作无效响应处理。出现非实质性偏离的，市场比价评审小组将要求供应商在规定的时间内予以澄清、说明、补正或承诺。供应商拒不或在规定的时间内没有进行澄清、说明、补正或澄清、补正的内容不能说明问题的，作无效响应处理。市场比价评审小组不接受供应商主动提出的澄清、说明或补正。</w:t>
      </w:r>
    </w:p>
    <w:p w14:paraId="23D2E787">
      <w:pPr>
        <w:widowControl/>
        <w:shd w:val="clear" w:color="auto" w:fill="FFFFFF"/>
        <w:spacing w:line="460" w:lineRule="exact"/>
        <w:ind w:firstLine="420"/>
        <w:jc w:val="left"/>
        <w:rPr>
          <w:rFonts w:hint="default"/>
          <w:highlight w:val="none"/>
          <w:lang w:val="en-US" w:eastAsia="zh-CN"/>
        </w:rPr>
      </w:pPr>
      <w:r>
        <w:rPr>
          <w:rFonts w:hint="eastAsia" w:ascii="宋体" w:hAnsi="宋体"/>
          <w:kern w:val="0"/>
          <w:sz w:val="24"/>
          <w:szCs w:val="24"/>
          <w:highlight w:val="none"/>
        </w:rPr>
        <w:t>（4）响应文件中出现的偏离是否属于实质性偏离，以及偏离程度由市场比价评审小组根据项目实际情况确定，市场比价小组成员意见不一致的，按照少数服从多数的原则确定。</w:t>
      </w:r>
    </w:p>
    <w:p w14:paraId="2D72AAB2">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四、评审</w:t>
      </w:r>
    </w:p>
    <w:p w14:paraId="7F7E2E76">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（一）市场比价工作程序</w:t>
      </w:r>
    </w:p>
    <w:p w14:paraId="40AC6EF8">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1.</w:t>
      </w:r>
      <w:r>
        <w:rPr>
          <w:rFonts w:hint="eastAsia" w:ascii="宋体" w:hAnsi="宋体"/>
          <w:color w:val="000000"/>
          <w:sz w:val="24"/>
          <w:szCs w:val="24"/>
          <w:highlight w:val="none"/>
        </w:rPr>
        <w:t>评审小组由采购人依法组建，成员人数为</w:t>
      </w:r>
      <w:r>
        <w:rPr>
          <w:rFonts w:ascii="宋体" w:hAnsi="宋体"/>
          <w:color w:val="000000"/>
          <w:sz w:val="24"/>
          <w:szCs w:val="24"/>
          <w:highlight w:val="none"/>
        </w:rPr>
        <w:t>3</w:t>
      </w:r>
      <w:r>
        <w:rPr>
          <w:rFonts w:hint="eastAsia" w:ascii="宋体" w:hAnsi="宋体"/>
          <w:color w:val="000000"/>
          <w:sz w:val="24"/>
          <w:szCs w:val="24"/>
          <w:highlight w:val="none"/>
        </w:rPr>
        <w:t>人及以上单数。</w:t>
      </w:r>
    </w:p>
    <w:p w14:paraId="244D5EB6">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2.</w:t>
      </w:r>
      <w:r>
        <w:rPr>
          <w:rFonts w:hint="eastAsia" w:ascii="宋体" w:hAnsi="宋体"/>
          <w:color w:val="000000"/>
          <w:sz w:val="24"/>
          <w:szCs w:val="24"/>
          <w:highlight w:val="none"/>
        </w:rPr>
        <w:t>评审小组首先对供应商的资格进行审查，资格审查不通过的，将不得进入评审。</w:t>
      </w:r>
    </w:p>
    <w:p w14:paraId="37DCE7AC">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3.</w:t>
      </w:r>
      <w:r>
        <w:rPr>
          <w:rFonts w:hint="eastAsia" w:ascii="宋体" w:hAnsi="宋体"/>
          <w:color w:val="000000"/>
          <w:sz w:val="24"/>
          <w:szCs w:val="24"/>
          <w:highlight w:val="none"/>
        </w:rPr>
        <w:t>评审小组对供应商提交的投标响应文件及样品进行审查，为评审做好准备工作。</w:t>
      </w:r>
    </w:p>
    <w:p w14:paraId="192914C8">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4.</w:t>
      </w:r>
      <w:r>
        <w:rPr>
          <w:rFonts w:hint="eastAsia" w:ascii="宋体" w:hAnsi="宋体"/>
          <w:color w:val="000000"/>
          <w:sz w:val="24"/>
          <w:szCs w:val="24"/>
          <w:highlight w:val="none"/>
        </w:rPr>
        <w:t>评审小组所有成员集中与单一供应商进行逐一评审。评审过程中可对评审文件规定的内容进行变动，变动内容须经采购人代表确认。</w:t>
      </w:r>
    </w:p>
    <w:p w14:paraId="7A1D63E4">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5.</w:t>
      </w:r>
      <w:r>
        <w:rPr>
          <w:rFonts w:hint="eastAsia" w:ascii="宋体" w:hAnsi="宋体"/>
          <w:color w:val="000000"/>
          <w:sz w:val="24"/>
          <w:szCs w:val="24"/>
          <w:highlight w:val="none"/>
        </w:rPr>
        <w:t>对否定的供应商，评审小组要提出充足的否定理由，并填写在评审记录上；对评审结果持有异议的，按照少数服从多数的原则由评审小组成员采取投票方式表决确定并记录入评审记录。</w:t>
      </w:r>
    </w:p>
    <w:p w14:paraId="60091239">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（二）资格审查</w:t>
      </w:r>
    </w:p>
    <w:p w14:paraId="29CACE2F">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经评审小组确定，以下情形的供应商属于无效响应：</w:t>
      </w:r>
    </w:p>
    <w:p w14:paraId="0E75032A">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未按本比选采购文件要求提供营业执照以及相关资格证明材料或提供的材料不符合要求的。</w:t>
      </w:r>
    </w:p>
    <w:p w14:paraId="51547459">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（三）评审响应书及样品</w:t>
      </w:r>
    </w:p>
    <w:p w14:paraId="089B0A63">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评审开始前，评审小组将认真审查供应商提交的评审响应书，了解其与投标文件要求是否有偏离，并对照本市场比价文件规定评判供应商是否合格。审查完评审响应书后，对合格供应商提供的样品进行检验。</w:t>
      </w:r>
    </w:p>
    <w:p w14:paraId="6FE8214C">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（四）评审</w:t>
      </w:r>
    </w:p>
    <w:p w14:paraId="6A37A4DF">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1.</w:t>
      </w:r>
      <w:r>
        <w:rPr>
          <w:rFonts w:hint="eastAsia" w:ascii="宋体" w:hAnsi="宋体"/>
          <w:color w:val="000000"/>
          <w:sz w:val="24"/>
          <w:szCs w:val="24"/>
          <w:highlight w:val="none"/>
        </w:rPr>
        <w:t>在掌握了供应商评审响应书及样品的基本情况后，评审小组将与供应商集中或分别进行评审。</w:t>
      </w:r>
    </w:p>
    <w:p w14:paraId="59C46A66">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lang w:eastAsia="zh-CN"/>
        </w:rPr>
        <w:t>2.</w:t>
      </w:r>
      <w:r>
        <w:rPr>
          <w:rFonts w:hint="eastAsia" w:ascii="宋体" w:hAnsi="宋体"/>
          <w:color w:val="000000"/>
          <w:sz w:val="24"/>
          <w:szCs w:val="24"/>
          <w:highlight w:val="none"/>
        </w:rPr>
        <w:t>在评审过程中，评审小组可以根据市场比价采购文件和投标文件情况实质性变动采购需求中的技术、服务要求以及合同草案条款，实质性变动内容是评审文件的有效组成部分。实质性变动的内容，经采购人代表确认。</w:t>
      </w:r>
    </w:p>
    <w:p w14:paraId="465E1ADF">
      <w:pPr>
        <w:widowControl/>
        <w:shd w:val="clear" w:color="auto" w:fill="FFFFFF"/>
        <w:spacing w:line="460" w:lineRule="exact"/>
        <w:ind w:firstLine="480" w:firstLineChars="200"/>
        <w:jc w:val="left"/>
        <w:rPr>
          <w:rFonts w:ascii="宋体" w:hAnsi="宋体"/>
          <w:color w:val="000000"/>
          <w:sz w:val="24"/>
          <w:szCs w:val="24"/>
          <w:highlight w:val="none"/>
        </w:rPr>
      </w:pPr>
      <w:r>
        <w:rPr>
          <w:rFonts w:hint="eastAsia" w:ascii="宋体" w:hAnsi="宋体"/>
          <w:color w:val="000000"/>
          <w:sz w:val="24"/>
          <w:szCs w:val="24"/>
          <w:highlight w:val="none"/>
        </w:rPr>
        <w:t>（五）报价</w:t>
      </w:r>
    </w:p>
    <w:p w14:paraId="6E2E0255">
      <w:pPr>
        <w:widowControl/>
        <w:shd w:val="clear" w:color="auto" w:fill="FFFFFF"/>
        <w:spacing w:line="460" w:lineRule="exact"/>
        <w:ind w:firstLine="480"/>
        <w:jc w:val="left"/>
        <w:rPr>
          <w:rFonts w:ascii="宋体" w:hAnsi="宋体"/>
          <w:color w:val="000000"/>
          <w:sz w:val="24"/>
          <w:szCs w:val="24"/>
          <w:highlight w:val="none"/>
        </w:rPr>
      </w:pPr>
      <w:r>
        <w:rPr>
          <w:rFonts w:hint="eastAsia" w:ascii="宋体" w:hAnsi="宋体"/>
          <w:color w:val="000000"/>
          <w:sz w:val="24"/>
          <w:szCs w:val="24"/>
          <w:highlight w:val="none"/>
        </w:rPr>
        <w:t>响应报价超过控制价或不按规定格式进行报价的属于无效响应。报价表应按要求填写并装订入响应文件内。</w:t>
      </w:r>
    </w:p>
    <w:p w14:paraId="4E94C1CD">
      <w:pPr>
        <w:pStyle w:val="14"/>
        <w:adjustRightInd/>
        <w:spacing w:line="360" w:lineRule="auto"/>
        <w:ind w:firstLine="480" w:firstLineChars="200"/>
        <w:rPr>
          <w:rFonts w:cs="仿宋_GB2312"/>
          <w:highlight w:val="none"/>
        </w:rPr>
      </w:pPr>
      <w:r>
        <w:rPr>
          <w:rFonts w:hint="eastAsia"/>
          <w:color w:val="000000"/>
          <w:highlight w:val="none"/>
        </w:rPr>
        <w:t>（六）</w:t>
      </w:r>
      <w:r>
        <w:rPr>
          <w:rFonts w:hint="eastAsia" w:cs="仿宋_GB2312"/>
          <w:highlight w:val="none"/>
        </w:rPr>
        <w:t>评审办法</w:t>
      </w:r>
    </w:p>
    <w:p w14:paraId="09323B6F">
      <w:pPr>
        <w:pStyle w:val="14"/>
        <w:wordWrap w:val="0"/>
        <w:adjustRightInd/>
        <w:snapToGrid w:val="0"/>
        <w:spacing w:line="360" w:lineRule="auto"/>
        <w:ind w:firstLine="480" w:firstLineChars="200"/>
        <w:jc w:val="both"/>
        <w:rPr>
          <w:highlight w:val="none"/>
        </w:rPr>
      </w:pPr>
      <w:r>
        <w:rPr>
          <w:rFonts w:hint="eastAsia" w:cs="仿宋_GB2312"/>
          <w:highlight w:val="none"/>
        </w:rPr>
        <w:t>根据《政府采购方式管理暂行办法》等法律法规的精神，并结合本项目实际制定本办法。综合评分法，是指响应文件满足采购文件全部实质性要求且按评审因素的量化指标评审得分最高的供应商为成交候选供应商的评审方法。</w:t>
      </w:r>
    </w:p>
    <w:p w14:paraId="48BB5423">
      <w:pPr>
        <w:spacing w:line="360" w:lineRule="auto"/>
        <w:ind w:firstLine="480" w:firstLineChars="200"/>
        <w:rPr>
          <w:rFonts w:ascii="宋体" w:hAnsi="宋体"/>
          <w:sz w:val="24"/>
          <w:szCs w:val="24"/>
          <w:highlight w:val="none"/>
        </w:rPr>
      </w:pPr>
      <w:r>
        <w:rPr>
          <w:rFonts w:hint="eastAsia" w:ascii="宋体" w:hAnsi="宋体"/>
          <w:sz w:val="24"/>
          <w:szCs w:val="24"/>
          <w:highlight w:val="none"/>
        </w:rPr>
        <w:tab/>
      </w:r>
      <w:r>
        <w:rPr>
          <w:rFonts w:hint="eastAsia" w:ascii="宋体" w:hAnsi="宋体"/>
          <w:b/>
          <w:bCs/>
          <w:sz w:val="24"/>
          <w:szCs w:val="24"/>
          <w:highlight w:val="none"/>
        </w:rPr>
        <w:t>一、资格审查</w:t>
      </w:r>
    </w:p>
    <w:p w14:paraId="2BF8CF81">
      <w:pPr>
        <w:pStyle w:val="14"/>
        <w:wordWrap w:val="0"/>
        <w:adjustRightInd/>
        <w:snapToGrid w:val="0"/>
        <w:spacing w:line="360" w:lineRule="auto"/>
        <w:ind w:firstLine="480" w:firstLineChars="200"/>
        <w:jc w:val="both"/>
        <w:rPr>
          <w:rFonts w:cs="仿宋_GB2312"/>
          <w:highlight w:val="none"/>
        </w:rPr>
      </w:pPr>
      <w:bookmarkStart w:id="0" w:name="_Toc17631"/>
      <w:bookmarkStart w:id="1" w:name="_Toc513623392"/>
      <w:bookmarkStart w:id="2" w:name="_Toc23811"/>
      <w:bookmarkStart w:id="3" w:name="_Toc23778"/>
      <w:r>
        <w:rPr>
          <w:rFonts w:hint="eastAsia" w:cs="仿宋_GB2312"/>
          <w:highlight w:val="none"/>
        </w:rPr>
        <w:t>符合性评审内容</w:t>
      </w:r>
      <w:bookmarkEnd w:id="0"/>
      <w:bookmarkEnd w:id="1"/>
      <w:bookmarkEnd w:id="2"/>
      <w:bookmarkEnd w:id="3"/>
    </w:p>
    <w:tbl>
      <w:tblPr>
        <w:tblStyle w:val="5"/>
        <w:tblpPr w:leftFromText="180" w:rightFromText="180" w:vertAnchor="text" w:horzAnchor="page" w:tblpX="1394" w:tblpY="130"/>
        <w:tblOverlap w:val="never"/>
        <w:tblW w:w="948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9"/>
        <w:gridCol w:w="1770"/>
        <w:gridCol w:w="2732"/>
        <w:gridCol w:w="1834"/>
        <w:gridCol w:w="2460"/>
      </w:tblGrid>
      <w:tr w14:paraId="491E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689" w:type="dxa"/>
            <w:vAlign w:val="center"/>
          </w:tcPr>
          <w:p w14:paraId="340C5E0E">
            <w:pPr>
              <w:pStyle w:val="14"/>
              <w:wordWrap w:val="0"/>
              <w:adjustRightInd/>
              <w:snapToGrid w:val="0"/>
              <w:jc w:val="center"/>
              <w:rPr>
                <w:rFonts w:cs="仿宋_GB2312"/>
                <w:highlight w:val="none"/>
              </w:rPr>
            </w:pPr>
            <w:r>
              <w:rPr>
                <w:rFonts w:hint="eastAsia" w:cs="仿宋_GB2312"/>
                <w:highlight w:val="none"/>
              </w:rPr>
              <w:t>序号</w:t>
            </w:r>
          </w:p>
        </w:tc>
        <w:tc>
          <w:tcPr>
            <w:tcW w:w="1770" w:type="dxa"/>
            <w:vAlign w:val="center"/>
          </w:tcPr>
          <w:p w14:paraId="4DD43158">
            <w:pPr>
              <w:pStyle w:val="14"/>
              <w:wordWrap w:val="0"/>
              <w:adjustRightInd/>
              <w:snapToGrid w:val="0"/>
              <w:jc w:val="center"/>
              <w:rPr>
                <w:rFonts w:cs="仿宋_GB2312"/>
                <w:highlight w:val="none"/>
              </w:rPr>
            </w:pPr>
            <w:r>
              <w:rPr>
                <w:rFonts w:hint="eastAsia" w:cs="仿宋_GB2312"/>
                <w:highlight w:val="none"/>
              </w:rPr>
              <w:t>合格条件</w:t>
            </w:r>
          </w:p>
        </w:tc>
        <w:tc>
          <w:tcPr>
            <w:tcW w:w="2732" w:type="dxa"/>
            <w:vAlign w:val="center"/>
          </w:tcPr>
          <w:p w14:paraId="736EBE01">
            <w:pPr>
              <w:pStyle w:val="14"/>
              <w:wordWrap w:val="0"/>
              <w:adjustRightInd/>
              <w:snapToGrid w:val="0"/>
              <w:ind w:firstLine="480" w:firstLineChars="200"/>
              <w:jc w:val="both"/>
              <w:rPr>
                <w:rFonts w:cs="仿宋_GB2312"/>
                <w:highlight w:val="none"/>
              </w:rPr>
            </w:pPr>
            <w:r>
              <w:rPr>
                <w:rFonts w:hint="eastAsia" w:cs="仿宋_GB2312"/>
                <w:highlight w:val="none"/>
              </w:rPr>
              <w:t>资格合格条件标准</w:t>
            </w:r>
          </w:p>
        </w:tc>
        <w:tc>
          <w:tcPr>
            <w:tcW w:w="1834" w:type="dxa"/>
            <w:vAlign w:val="center"/>
          </w:tcPr>
          <w:p w14:paraId="56717C27">
            <w:pPr>
              <w:pStyle w:val="14"/>
              <w:wordWrap w:val="0"/>
              <w:adjustRightInd/>
              <w:snapToGrid w:val="0"/>
              <w:jc w:val="both"/>
              <w:rPr>
                <w:rFonts w:cs="仿宋_GB2312"/>
                <w:highlight w:val="none"/>
              </w:rPr>
            </w:pPr>
            <w:r>
              <w:rPr>
                <w:rFonts w:hint="eastAsia" w:cs="仿宋_GB2312"/>
                <w:highlight w:val="none"/>
              </w:rPr>
              <w:t>有效证明材料</w:t>
            </w:r>
          </w:p>
        </w:tc>
        <w:tc>
          <w:tcPr>
            <w:tcW w:w="2460" w:type="dxa"/>
            <w:vAlign w:val="center"/>
          </w:tcPr>
          <w:p w14:paraId="24C629CA">
            <w:pPr>
              <w:pStyle w:val="14"/>
              <w:wordWrap w:val="0"/>
              <w:adjustRightInd/>
              <w:snapToGrid w:val="0"/>
              <w:ind w:firstLine="480" w:firstLineChars="200"/>
              <w:jc w:val="both"/>
              <w:rPr>
                <w:rFonts w:cs="仿宋_GB2312"/>
                <w:highlight w:val="none"/>
              </w:rPr>
            </w:pPr>
            <w:r>
              <w:rPr>
                <w:rFonts w:hint="eastAsia" w:cs="仿宋_GB2312"/>
                <w:highlight w:val="none"/>
              </w:rPr>
              <w:t>定性的结论以及</w:t>
            </w:r>
          </w:p>
          <w:p w14:paraId="6CA40DEE">
            <w:pPr>
              <w:pStyle w:val="14"/>
              <w:wordWrap w:val="0"/>
              <w:adjustRightInd/>
              <w:snapToGrid w:val="0"/>
              <w:ind w:firstLine="480" w:firstLineChars="200"/>
              <w:jc w:val="both"/>
              <w:rPr>
                <w:rFonts w:cs="仿宋_GB2312"/>
                <w:highlight w:val="none"/>
              </w:rPr>
            </w:pPr>
            <w:r>
              <w:rPr>
                <w:rFonts w:hint="eastAsia" w:cs="仿宋_GB2312"/>
                <w:highlight w:val="none"/>
              </w:rPr>
              <w:t>相关情况说明</w:t>
            </w:r>
          </w:p>
        </w:tc>
      </w:tr>
      <w:tr w14:paraId="7AC3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tblCellSpacing w:w="0" w:type="dxa"/>
        </w:trPr>
        <w:tc>
          <w:tcPr>
            <w:tcW w:w="689" w:type="dxa"/>
            <w:vAlign w:val="center"/>
          </w:tcPr>
          <w:p w14:paraId="3F30BF6B">
            <w:pPr>
              <w:pStyle w:val="14"/>
              <w:wordWrap w:val="0"/>
              <w:adjustRightInd/>
              <w:snapToGrid w:val="0"/>
              <w:jc w:val="center"/>
              <w:rPr>
                <w:rFonts w:cs="仿宋_GB2312"/>
                <w:highlight w:val="none"/>
              </w:rPr>
            </w:pPr>
            <w:r>
              <w:rPr>
                <w:rFonts w:hint="eastAsia" w:cs="仿宋_GB2312"/>
                <w:highlight w:val="none"/>
              </w:rPr>
              <w:t>1</w:t>
            </w:r>
          </w:p>
        </w:tc>
        <w:tc>
          <w:tcPr>
            <w:tcW w:w="1770" w:type="dxa"/>
            <w:vAlign w:val="center"/>
          </w:tcPr>
          <w:p w14:paraId="17353BC8">
            <w:pPr>
              <w:pStyle w:val="14"/>
              <w:wordWrap w:val="0"/>
              <w:adjustRightInd/>
              <w:snapToGrid w:val="0"/>
              <w:jc w:val="both"/>
              <w:rPr>
                <w:rFonts w:cs="仿宋_GB2312"/>
                <w:highlight w:val="none"/>
              </w:rPr>
            </w:pPr>
            <w:r>
              <w:rPr>
                <w:rFonts w:hint="eastAsia" w:cs="仿宋_GB2312"/>
                <w:highlight w:val="none"/>
              </w:rPr>
              <w:t>独立的法人营业资格</w:t>
            </w:r>
          </w:p>
        </w:tc>
        <w:tc>
          <w:tcPr>
            <w:tcW w:w="2732" w:type="dxa"/>
            <w:vAlign w:val="center"/>
          </w:tcPr>
          <w:p w14:paraId="6737F219">
            <w:pPr>
              <w:pStyle w:val="14"/>
              <w:wordWrap w:val="0"/>
              <w:adjustRightInd/>
              <w:snapToGrid w:val="0"/>
              <w:jc w:val="both"/>
              <w:rPr>
                <w:rFonts w:cs="仿宋_GB2312"/>
                <w:highlight w:val="none"/>
              </w:rPr>
            </w:pPr>
            <w:r>
              <w:rPr>
                <w:rFonts w:hint="eastAsia" w:cs="仿宋_GB2312"/>
                <w:highlight w:val="none"/>
              </w:rPr>
              <w:t>在中华人民共和国境内合法注册的独立法人资格，并具有相应的经营范围。</w:t>
            </w:r>
          </w:p>
        </w:tc>
        <w:tc>
          <w:tcPr>
            <w:tcW w:w="1834" w:type="dxa"/>
            <w:vAlign w:val="center"/>
          </w:tcPr>
          <w:p w14:paraId="03E2CBDD">
            <w:pPr>
              <w:pStyle w:val="14"/>
              <w:wordWrap w:val="0"/>
              <w:adjustRightInd/>
              <w:snapToGrid w:val="0"/>
              <w:jc w:val="both"/>
              <w:rPr>
                <w:rFonts w:cs="仿宋_GB2312"/>
                <w:highlight w:val="none"/>
              </w:rPr>
            </w:pPr>
            <w:r>
              <w:rPr>
                <w:rFonts w:hint="eastAsia" w:cs="仿宋_GB2312"/>
                <w:highlight w:val="none"/>
              </w:rPr>
              <w:t>企业法人营业执照（副本）</w:t>
            </w:r>
          </w:p>
        </w:tc>
        <w:tc>
          <w:tcPr>
            <w:tcW w:w="2460" w:type="dxa"/>
            <w:vAlign w:val="center"/>
          </w:tcPr>
          <w:p w14:paraId="5F351F28">
            <w:pPr>
              <w:pStyle w:val="14"/>
              <w:wordWrap w:val="0"/>
              <w:adjustRightInd/>
              <w:snapToGrid w:val="0"/>
              <w:jc w:val="both"/>
              <w:rPr>
                <w:rFonts w:cs="仿宋_GB2312"/>
                <w:highlight w:val="none"/>
              </w:rPr>
            </w:pPr>
            <w:r>
              <w:rPr>
                <w:rFonts w:hint="eastAsia" w:cs="仿宋_GB2312"/>
                <w:highlight w:val="none"/>
                <w:lang w:eastAsia="zh-CN"/>
              </w:rPr>
              <w:t>复印件并加盖</w:t>
            </w:r>
            <w:r>
              <w:rPr>
                <w:rFonts w:hint="eastAsia" w:cs="仿宋_GB2312"/>
                <w:highlight w:val="none"/>
              </w:rPr>
              <w:t>公章装订在投标响应文件内，原件备查</w:t>
            </w:r>
          </w:p>
        </w:tc>
      </w:tr>
    </w:tbl>
    <w:p w14:paraId="63B20108">
      <w:pPr>
        <w:pStyle w:val="14"/>
        <w:wordWrap w:val="0"/>
        <w:adjustRightInd/>
        <w:snapToGrid w:val="0"/>
        <w:ind w:firstLine="480" w:firstLineChars="200"/>
        <w:jc w:val="both"/>
        <w:rPr>
          <w:rFonts w:cs="仿宋_GB2312"/>
          <w:highlight w:val="none"/>
          <w:lang w:val="zh-CN"/>
        </w:rPr>
      </w:pPr>
      <w:r>
        <w:rPr>
          <w:rFonts w:hint="eastAsia" w:cs="仿宋_GB2312"/>
          <w:highlight w:val="none"/>
        </w:rPr>
        <w:t>注</w:t>
      </w:r>
      <w:r>
        <w:rPr>
          <w:rFonts w:hint="eastAsia" w:cs="仿宋_GB2312"/>
          <w:highlight w:val="none"/>
          <w:lang w:eastAsia="zh-CN"/>
        </w:rPr>
        <w:t>：</w:t>
      </w:r>
      <w:r>
        <w:rPr>
          <w:rFonts w:hint="eastAsia" w:cs="仿宋_GB2312"/>
          <w:highlight w:val="none"/>
        </w:rPr>
        <w:t xml:space="preserve"> </w:t>
      </w:r>
      <w:r>
        <w:rPr>
          <w:rFonts w:hint="eastAsia" w:cs="仿宋_GB2312"/>
          <w:highlight w:val="none"/>
          <w:lang w:val="zh-CN"/>
        </w:rPr>
        <w:t>1.以上条款中有一条不符合即为不合格。</w:t>
      </w:r>
    </w:p>
    <w:p w14:paraId="241A8EE2">
      <w:pPr>
        <w:tabs>
          <w:tab w:val="left" w:pos="945"/>
        </w:tabs>
        <w:snapToGrid w:val="0"/>
        <w:ind w:firstLine="480" w:firstLineChars="200"/>
        <w:rPr>
          <w:rFonts w:ascii="宋体" w:hAnsi="宋体"/>
          <w:sz w:val="24"/>
          <w:szCs w:val="24"/>
          <w:highlight w:val="none"/>
          <w:lang w:val="zh-CN"/>
        </w:rPr>
      </w:pPr>
      <w:r>
        <w:rPr>
          <w:rFonts w:hint="eastAsia" w:ascii="宋体" w:hAnsi="宋体"/>
          <w:sz w:val="24"/>
          <w:szCs w:val="24"/>
          <w:highlight w:val="none"/>
          <w:lang w:val="zh-CN"/>
        </w:rPr>
        <w:t>2.经公证部门公证的复印件和原件具有同等效力。</w:t>
      </w:r>
    </w:p>
    <w:p w14:paraId="28502A2F">
      <w:pPr>
        <w:tabs>
          <w:tab w:val="left" w:pos="945"/>
        </w:tabs>
        <w:snapToGrid w:val="0"/>
        <w:ind w:firstLine="480" w:firstLineChars="200"/>
        <w:rPr>
          <w:rFonts w:ascii="宋体" w:hAnsi="宋体"/>
          <w:sz w:val="24"/>
          <w:szCs w:val="24"/>
          <w:highlight w:val="none"/>
          <w:lang w:val="zh-CN"/>
        </w:rPr>
      </w:pPr>
      <w:r>
        <w:rPr>
          <w:rFonts w:hint="eastAsia" w:ascii="宋体" w:hAnsi="宋体"/>
          <w:sz w:val="24"/>
          <w:szCs w:val="24"/>
          <w:highlight w:val="none"/>
          <w:lang w:val="zh-CN"/>
        </w:rPr>
        <w:t>3.以上评审内容均应在</w:t>
      </w:r>
      <w:r>
        <w:rPr>
          <w:rFonts w:hint="eastAsia" w:ascii="宋体" w:hAnsi="宋体"/>
          <w:sz w:val="24"/>
          <w:szCs w:val="24"/>
          <w:highlight w:val="none"/>
        </w:rPr>
        <w:t>投标响应文件</w:t>
      </w:r>
      <w:r>
        <w:rPr>
          <w:rFonts w:hint="eastAsia" w:ascii="宋体" w:hAnsi="宋体"/>
          <w:sz w:val="24"/>
          <w:szCs w:val="24"/>
          <w:highlight w:val="none"/>
          <w:lang w:val="zh-CN"/>
        </w:rPr>
        <w:t>中体现。</w:t>
      </w:r>
    </w:p>
    <w:p w14:paraId="0E75C01D">
      <w:pPr>
        <w:tabs>
          <w:tab w:val="left" w:pos="945"/>
        </w:tabs>
        <w:snapToGrid w:val="0"/>
        <w:ind w:firstLine="480" w:firstLineChars="200"/>
        <w:rPr>
          <w:rFonts w:ascii="宋体" w:hAnsi="宋体"/>
          <w:b/>
          <w:bCs/>
          <w:sz w:val="24"/>
          <w:szCs w:val="24"/>
          <w:highlight w:val="none"/>
        </w:rPr>
      </w:pPr>
      <w:r>
        <w:rPr>
          <w:rFonts w:hint="eastAsia" w:ascii="宋体" w:hAnsi="宋体"/>
          <w:sz w:val="24"/>
          <w:szCs w:val="24"/>
          <w:highlight w:val="none"/>
        </w:rPr>
        <w:t>4.以上评审有任何一项未通过的，资格审查不合格，投标响应文件按无效处理。</w:t>
      </w:r>
    </w:p>
    <w:p w14:paraId="216A3210">
      <w:pPr>
        <w:tabs>
          <w:tab w:val="left" w:pos="945"/>
        </w:tabs>
        <w:snapToGrid w:val="0"/>
        <w:ind w:firstLine="480" w:firstLineChars="200"/>
        <w:rPr>
          <w:rFonts w:ascii="宋体" w:hAnsi="宋体"/>
          <w:b/>
          <w:sz w:val="24"/>
          <w:szCs w:val="24"/>
          <w:highlight w:val="none"/>
        </w:rPr>
      </w:pPr>
      <w:r>
        <w:rPr>
          <w:rFonts w:hint="eastAsia" w:ascii="宋体" w:hAnsi="宋体"/>
          <w:sz w:val="24"/>
          <w:szCs w:val="24"/>
          <w:highlight w:val="none"/>
        </w:rPr>
        <w:t>5</w:t>
      </w:r>
      <w:r>
        <w:rPr>
          <w:rFonts w:hint="eastAsia" w:ascii="宋体" w:hAnsi="宋体"/>
          <w:sz w:val="24"/>
          <w:szCs w:val="24"/>
          <w:highlight w:val="none"/>
          <w:lang w:val="zh-CN"/>
        </w:rPr>
        <w:t>.供应商原件如有虚假，一经查实列入不良行为予以记录，是成交候选供应商的，取消其成交候选供应商资格。</w:t>
      </w:r>
    </w:p>
    <w:p w14:paraId="1EC63212">
      <w:pPr>
        <w:spacing w:line="520" w:lineRule="exact"/>
        <w:rPr>
          <w:rFonts w:ascii="宋体" w:hAnsi="宋体"/>
          <w:b/>
          <w:sz w:val="24"/>
          <w:szCs w:val="24"/>
          <w:highlight w:val="none"/>
        </w:rPr>
      </w:pPr>
      <w:r>
        <w:rPr>
          <w:rFonts w:hint="eastAsia" w:ascii="宋体" w:hAnsi="宋体"/>
          <w:b/>
          <w:sz w:val="24"/>
          <w:szCs w:val="24"/>
          <w:highlight w:val="none"/>
        </w:rPr>
        <w:t>二、评分标准</w:t>
      </w:r>
    </w:p>
    <w:p w14:paraId="43189C19">
      <w:pPr>
        <w:tabs>
          <w:tab w:val="left" w:pos="945"/>
        </w:tabs>
        <w:snapToGrid w:val="0"/>
        <w:ind w:firstLine="480" w:firstLineChars="200"/>
        <w:rPr>
          <w:rFonts w:hint="eastAsia" w:ascii="宋体" w:hAnsi="宋体"/>
          <w:sz w:val="24"/>
          <w:szCs w:val="24"/>
          <w:highlight w:val="none"/>
          <w:lang w:val="zh-CN"/>
        </w:rPr>
      </w:pPr>
      <w:r>
        <w:rPr>
          <w:rFonts w:hint="eastAsia" w:ascii="宋体" w:hAnsi="宋体"/>
          <w:sz w:val="24"/>
          <w:szCs w:val="24"/>
          <w:highlight w:val="none"/>
          <w:lang w:val="zh-CN"/>
        </w:rPr>
        <w:t>最低评标价法。在评审过程中，所有投标文件满足招标文件要求的前提下，报价最低的投标人将作为中标候选人。</w:t>
      </w:r>
    </w:p>
    <w:p w14:paraId="62022050">
      <w:pPr>
        <w:pStyle w:val="2"/>
        <w:rPr>
          <w:rFonts w:hint="eastAsia" w:ascii="微软雅黑" w:hAnsi="微软雅黑" w:eastAsia="微软雅黑" w:cs="微软雅黑"/>
          <w:color w:val="333333"/>
          <w:sz w:val="24"/>
          <w:szCs w:val="24"/>
          <w:highlight w:val="none"/>
          <w:shd w:val="clear" w:color="auto" w:fill="FFFFFF"/>
        </w:rPr>
      </w:pPr>
    </w:p>
    <w:p w14:paraId="3E1B49F7">
      <w:pPr>
        <w:keepNext w:val="0"/>
        <w:keepLines w:val="0"/>
        <w:pageBreakBefore w:val="0"/>
        <w:widowControl w:val="0"/>
        <w:kinsoku/>
        <w:wordWrap/>
        <w:overflowPunct/>
        <w:topLinePunct w:val="0"/>
        <w:autoSpaceDE/>
        <w:autoSpaceDN/>
        <w:bidi w:val="0"/>
        <w:adjustRightInd/>
        <w:snapToGrid/>
        <w:spacing w:before="480" w:after="480" w:line="240" w:lineRule="auto"/>
        <w:ind w:left="0"/>
        <w:jc w:val="both"/>
        <w:textAlignment w:val="auto"/>
        <w:rPr>
          <w:rFonts w:hint="default" w:ascii="黑体" w:hAnsi="黑体" w:eastAsia="黑体" w:cs="黑体"/>
          <w:b/>
          <w:bCs w:val="0"/>
          <w:sz w:val="44"/>
          <w:szCs w:val="44"/>
          <w:lang w:val="en-US" w:eastAsia="zh-CN"/>
        </w:rPr>
      </w:pPr>
    </w:p>
    <w:p w14:paraId="5B3F514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5D448">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14:paraId="747DFC03">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D06C60"/>
    <w:rsid w:val="11BC4DCC"/>
    <w:rsid w:val="35D06C60"/>
    <w:rsid w:val="57421565"/>
    <w:rsid w:val="6F2F511B"/>
    <w:rsid w:val="78217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rPr>
      <w:sz w:val="22"/>
      <w:szCs w:val="22"/>
    </w:rPr>
  </w:style>
  <w:style w:type="paragraph" w:styleId="3">
    <w:name w:val="footer"/>
    <w:basedOn w:val="1"/>
    <w:qFormat/>
    <w:uiPriority w:val="99"/>
    <w:pPr>
      <w:tabs>
        <w:tab w:val="center" w:pos="4153"/>
        <w:tab w:val="right" w:pos="8306"/>
      </w:tabs>
      <w:snapToGrid w:val="0"/>
      <w:jc w:val="left"/>
    </w:pPr>
    <w:rPr>
      <w:rFonts w:cs="Times New Roman"/>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Times New Roman"/>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rFonts w:cs="Times New Roman"/>
      <w:b/>
    </w:rPr>
  </w:style>
  <w:style w:type="paragraph" w:customStyle="1" w:styleId="9">
    <w:name w:val="分类号"/>
    <w:basedOn w:val="1"/>
    <w:qFormat/>
    <w:uiPriority w:val="0"/>
    <w:rPr>
      <w:rFonts w:ascii="仿宋_GB2312" w:hAnsi="Times New Roman" w:eastAsia="仿宋_GB2312" w:cs="Times New Roman"/>
      <w:kern w:val="2"/>
      <w:sz w:val="28"/>
      <w:szCs w:val="28"/>
      <w:lang w:val="en-US" w:eastAsia="zh-CN" w:bidi="ar-SA"/>
    </w:rPr>
  </w:style>
  <w:style w:type="paragraph" w:customStyle="1" w:styleId="10">
    <w:name w:val="封面日期"/>
    <w:basedOn w:val="1"/>
    <w:qFormat/>
    <w:uiPriority w:val="0"/>
    <w:pPr>
      <w:jc w:val="center"/>
    </w:pPr>
    <w:rPr>
      <w:rFonts w:ascii="黑体" w:hAnsi="Times New Roman" w:eastAsia="黑体" w:cs="Times New Roman"/>
      <w:kern w:val="2"/>
      <w:sz w:val="32"/>
      <w:szCs w:val="32"/>
      <w:lang w:val="en-US" w:eastAsia="zh-CN" w:bidi="ar-SA"/>
    </w:rPr>
  </w:style>
  <w:style w:type="paragraph" w:customStyle="1" w:styleId="11">
    <w:name w:val="论文标题"/>
    <w:basedOn w:val="1"/>
    <w:qFormat/>
    <w:uiPriority w:val="0"/>
    <w:pPr>
      <w:jc w:val="center"/>
    </w:pPr>
    <w:rPr>
      <w:rFonts w:ascii="Times New Roman" w:hAnsi="Times New Roman" w:eastAsia="楷体_GB2312" w:cs="Times New Roman"/>
      <w:b/>
      <w:kern w:val="36"/>
      <w:sz w:val="52"/>
      <w:szCs w:val="52"/>
      <w:lang w:val="en-US" w:eastAsia="zh-CN" w:bidi="ar-SA"/>
    </w:rPr>
  </w:style>
  <w:style w:type="paragraph" w:customStyle="1" w:styleId="12">
    <w:name w:val="硕士学位论文"/>
    <w:basedOn w:val="1"/>
    <w:qFormat/>
    <w:uiPriority w:val="0"/>
    <w:pPr>
      <w:spacing w:before="240"/>
      <w:jc w:val="center"/>
    </w:pPr>
    <w:rPr>
      <w:rFonts w:ascii="Times New Roman" w:hAnsi="Times New Roman" w:eastAsia="宋体" w:cs="Times New Roman"/>
      <w:kern w:val="2"/>
      <w:sz w:val="44"/>
      <w:szCs w:val="44"/>
      <w:lang w:val="en-US" w:eastAsia="zh-CN" w:bidi="ar-SA"/>
    </w:rPr>
  </w:style>
  <w:style w:type="paragraph" w:customStyle="1" w:styleId="13">
    <w:name w:val="研究生姓名"/>
    <w:basedOn w:val="1"/>
    <w:qFormat/>
    <w:uiPriority w:val="0"/>
    <w:pPr>
      <w:ind w:firstLine="700" w:firstLineChars="700"/>
    </w:pPr>
    <w:rPr>
      <w:rFonts w:ascii="Times New Roman" w:hAnsi="Times New Roman" w:eastAsia="宋体" w:cs="Times New Roman"/>
      <w:kern w:val="2"/>
      <w:sz w:val="28"/>
      <w:szCs w:val="28"/>
      <w:lang w:val="en-US" w:eastAsia="zh-CN" w:bidi="ar-SA"/>
    </w:rPr>
  </w:style>
  <w:style w:type="paragraph" w:customStyle="1" w:styleId="1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3551</Words>
  <Characters>3761</Characters>
  <Lines>0</Lines>
  <Paragraphs>0</Paragraphs>
  <TotalTime>1</TotalTime>
  <ScaleCrop>false</ScaleCrop>
  <LinksUpToDate>false</LinksUpToDate>
  <CharactersWithSpaces>3791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2026-09-20T07:56:00Z</dcterms:created>
  <dc:creator>于洋</dc:creator>
  <cp:lastModifiedBy>闲人癸</cp:lastModifiedBy>
  <dcterms:modified xsi:type="dcterms:W3CDTF">2026-09-21T00:32:54Z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961EC41780CA492D85A26BD7D496D33A_13</vt:lpwstr>
  </property>
  <property fmtid="{D5CDD505-2E9C-101B-9397-08002B2CF9AE}" pid="4" name="KSOTemplateDocerSaveRecord">
    <vt:lpwstr>eyJoZGlkIjoiYzhhYzk3YTA1ZDVlNTYyYzhmYTBkYmE3YmM5OTI4YzQiLCJ1c2VySWQiOiIyMTEyMDAwMTgifQ==</vt:lpwstr>
  </property>
</Properties>
</file>